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CA75" w14:textId="77777777" w:rsidR="00306B55" w:rsidRPr="00C654B4" w:rsidRDefault="00306B55" w:rsidP="00306B55">
      <w:pPr>
        <w:jc w:val="center"/>
      </w:pPr>
      <w:r>
        <w:rPr>
          <w:noProof/>
        </w:rPr>
        <w:drawing>
          <wp:inline distT="0" distB="0" distL="0" distR="0" wp14:anchorId="62E608C1" wp14:editId="2DEAC867">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6060CE4F" w14:textId="77777777" w:rsidR="00306B55" w:rsidRDefault="00306B55" w:rsidP="00306B55">
      <w:pPr>
        <w:rPr>
          <w:b/>
        </w:rPr>
      </w:pPr>
    </w:p>
    <w:p w14:paraId="7CD78470" w14:textId="23DB3745" w:rsidR="00306B55" w:rsidRPr="007B0535" w:rsidRDefault="00306B55" w:rsidP="00306B55">
      <w:pPr>
        <w:jc w:val="center"/>
        <w:rPr>
          <w:b/>
          <w:bCs/>
          <w:i/>
          <w:color w:val="1B75BC"/>
          <w:sz w:val="52"/>
          <w:szCs w:val="40"/>
        </w:rPr>
      </w:pPr>
      <w:r>
        <w:rPr>
          <w:b/>
          <w:bCs/>
          <w:i/>
          <w:color w:val="1B75BC"/>
          <w:sz w:val="52"/>
          <w:szCs w:val="40"/>
        </w:rPr>
        <w:t xml:space="preserve">Immediate Postpartum LARC </w:t>
      </w:r>
      <w:r>
        <w:rPr>
          <w:b/>
          <w:bCs/>
          <w:i/>
          <w:color w:val="1B75BC"/>
          <w:sz w:val="52"/>
          <w:szCs w:val="40"/>
        </w:rPr>
        <w:br/>
      </w:r>
      <w:r w:rsidR="0078192E">
        <w:rPr>
          <w:b/>
          <w:bCs/>
          <w:i/>
          <w:color w:val="1B75BC"/>
          <w:sz w:val="52"/>
          <w:szCs w:val="40"/>
        </w:rPr>
        <w:t xml:space="preserve">Driver Diagram and </w:t>
      </w:r>
      <w:r>
        <w:rPr>
          <w:b/>
          <w:bCs/>
          <w:i/>
          <w:color w:val="1B75BC"/>
          <w:sz w:val="52"/>
          <w:szCs w:val="40"/>
        </w:rPr>
        <w:t>Process Measures</w:t>
      </w:r>
    </w:p>
    <w:p w14:paraId="7300B16C" w14:textId="77777777" w:rsidR="00306B55" w:rsidRDefault="00306B55" w:rsidP="00306B55">
      <w:pPr>
        <w:tabs>
          <w:tab w:val="num" w:pos="0"/>
        </w:tabs>
        <w:spacing w:after="0" w:line="240" w:lineRule="auto"/>
        <w:rPr>
          <w:rFonts w:cstheme="minorHAnsi"/>
          <w:b/>
          <w:bCs/>
          <w:caps/>
          <w:sz w:val="48"/>
          <w:szCs w:val="48"/>
        </w:rPr>
      </w:pPr>
    </w:p>
    <w:p w14:paraId="7CA37C6F"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26E9A670"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CA2D0C1"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3D2F738D"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070B060"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5E2B5001"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3EA91D3D"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78D3960E" w14:textId="77777777" w:rsidR="00306B55" w:rsidRDefault="00306B55" w:rsidP="00306B55">
      <w:pPr>
        <w:tabs>
          <w:tab w:val="num" w:pos="0"/>
        </w:tabs>
        <w:spacing w:after="0" w:line="240" w:lineRule="auto"/>
        <w:rPr>
          <w:rFonts w:eastAsiaTheme="majorEastAsia" w:cstheme="minorHAnsi"/>
          <w:b/>
          <w:i/>
          <w:color w:val="D56283"/>
          <w:sz w:val="28"/>
          <w:szCs w:val="26"/>
        </w:rPr>
      </w:pPr>
    </w:p>
    <w:p w14:paraId="6830A2AD" w14:textId="77777777" w:rsidR="00306B55" w:rsidRDefault="00306B55" w:rsidP="00306B55">
      <w:pPr>
        <w:tabs>
          <w:tab w:val="num" w:pos="0"/>
        </w:tabs>
        <w:spacing w:after="0" w:line="240" w:lineRule="auto"/>
        <w:jc w:val="center"/>
        <w:rPr>
          <w:rFonts w:cstheme="minorHAnsi"/>
          <w:caps/>
          <w:sz w:val="24"/>
          <w:szCs w:val="24"/>
        </w:rPr>
      </w:pPr>
    </w:p>
    <w:p w14:paraId="5C684D41" w14:textId="28689C71" w:rsidR="00306B55" w:rsidRDefault="00306B55" w:rsidP="00694E6F">
      <w:pPr>
        <w:rPr>
          <w:b/>
          <w:bCs/>
        </w:rPr>
      </w:pPr>
    </w:p>
    <w:p w14:paraId="7E53E78F" w14:textId="77777777" w:rsidR="00306B55" w:rsidRDefault="00306B55" w:rsidP="00694E6F">
      <w:pPr>
        <w:rPr>
          <w:b/>
          <w:bCs/>
        </w:rPr>
      </w:pPr>
    </w:p>
    <w:p w14:paraId="1BC86444" w14:textId="1BF92B13" w:rsidR="00DF4CD8" w:rsidRDefault="0036481B" w:rsidP="00694E6F">
      <w:pPr>
        <w:rPr>
          <w:b/>
          <w:bCs/>
        </w:rPr>
      </w:pPr>
      <w:r w:rsidRPr="00DF4CD8">
        <w:rPr>
          <w:b/>
          <w:bCs/>
          <w:noProof/>
        </w:rPr>
        <w:lastRenderedPageBreak/>
        <mc:AlternateContent>
          <mc:Choice Requires="wps">
            <w:drawing>
              <wp:anchor distT="0" distB="0" distL="114300" distR="114300" simplePos="0" relativeHeight="251666432" behindDoc="0" locked="0" layoutInCell="1" allowOverlap="1" wp14:anchorId="78E01797" wp14:editId="40F649B9">
                <wp:simplePos x="0" y="0"/>
                <wp:positionH relativeFrom="column">
                  <wp:posOffset>4162425</wp:posOffset>
                </wp:positionH>
                <wp:positionV relativeFrom="paragraph">
                  <wp:posOffset>314324</wp:posOffset>
                </wp:positionV>
                <wp:extent cx="4505325" cy="1533525"/>
                <wp:effectExtent l="0" t="0" r="28575" b="28575"/>
                <wp:wrapNone/>
                <wp:docPr id="17" name="Rectangle 12"/>
                <wp:cNvGraphicFramePr/>
                <a:graphic xmlns:a="http://schemas.openxmlformats.org/drawingml/2006/main">
                  <a:graphicData uri="http://schemas.microsoft.com/office/word/2010/wordprocessingShape">
                    <wps:wsp>
                      <wps:cNvSpPr/>
                      <wps:spPr>
                        <a:xfrm>
                          <a:off x="0" y="0"/>
                          <a:ext cx="4505325" cy="15335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FC71729" w14:textId="77777777" w:rsidR="00DF4CD8" w:rsidRPr="00F51F8E" w:rsidRDefault="00DF4CD8" w:rsidP="00B515BB">
                            <w:pPr>
                              <w:numPr>
                                <w:ilvl w:val="0"/>
                                <w:numId w:val="1"/>
                              </w:numPr>
                              <w:tabs>
                                <w:tab w:val="num" w:pos="270"/>
                              </w:tabs>
                              <w:ind w:left="270" w:hanging="270"/>
                              <w:contextualSpacing/>
                              <w:rPr>
                                <w:rFonts w:eastAsia="Times New Roman"/>
                                <w:sz w:val="20"/>
                                <w:szCs w:val="20"/>
                              </w:rPr>
                            </w:pPr>
                            <w:r>
                              <w:rPr>
                                <w:rFonts w:eastAsia="Times New Roman"/>
                                <w:sz w:val="20"/>
                                <w:szCs w:val="20"/>
                              </w:rPr>
                              <w:t>Ensure that all appropriate IT systems are modified to document acquisition, stocking, ordering, placement, counseling, consent, billing and reimbursement for IPLARC.</w:t>
                            </w:r>
                          </w:p>
                          <w:p w14:paraId="03D04026" w14:textId="77777777" w:rsidR="00DF4CD8" w:rsidRPr="006C7A23" w:rsidRDefault="00DF4CD8" w:rsidP="00B515BB">
                            <w:pPr>
                              <w:numPr>
                                <w:ilvl w:val="0"/>
                                <w:numId w:val="1"/>
                              </w:numPr>
                              <w:tabs>
                                <w:tab w:val="num" w:pos="270"/>
                              </w:tabs>
                              <w:ind w:left="270" w:hanging="270"/>
                              <w:contextualSpacing/>
                              <w:rPr>
                                <w:rFonts w:eastAsia="Times New Roman"/>
                                <w:color w:val="000000" w:themeColor="text1"/>
                                <w:sz w:val="20"/>
                                <w:szCs w:val="20"/>
                              </w:rPr>
                            </w:pPr>
                            <w:r>
                              <w:rPr>
                                <w:rFonts w:eastAsia="Times New Roman"/>
                                <w:color w:val="000000" w:themeColor="text1"/>
                                <w:sz w:val="20"/>
                                <w:szCs w:val="20"/>
                              </w:rPr>
                              <w:t>Store LARC devices on Labor &amp; Delivery and/or develop process for acquiring devices in a timely manner.</w:t>
                            </w:r>
                          </w:p>
                          <w:p w14:paraId="6739AF22" w14:textId="77777777" w:rsidR="00DF4CD8"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Modify L&amp;D, OB OR, postpartum and clinic workflows to include placement of LARC.</w:t>
                            </w:r>
                          </w:p>
                          <w:p w14:paraId="2B008BD3" w14:textId="163C73B1" w:rsidR="00DF4CD8" w:rsidRPr="00F51F8E"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Expand pharmacy capacity and device distribution to ensure timely</w:t>
                            </w:r>
                            <w:r w:rsidR="0036481B">
                              <w:rPr>
                                <w:rFonts w:eastAsia="Times New Roman"/>
                                <w:color w:val="262626" w:themeColor="text1" w:themeTint="D9"/>
                                <w:sz w:val="20"/>
                                <w:szCs w:val="20"/>
                              </w:rPr>
                              <w:t xml:space="preserve"> </w:t>
                            </w:r>
                            <w:r>
                              <w:rPr>
                                <w:rFonts w:eastAsia="Times New Roman"/>
                                <w:color w:val="262626" w:themeColor="text1" w:themeTint="D9"/>
                                <w:sz w:val="20"/>
                                <w:szCs w:val="20"/>
                              </w:rPr>
                              <w:t>placement.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E01797" id="Rectangle 12" o:spid="_x0000_s1026" style="position:absolute;margin-left:327.75pt;margin-top:24.75pt;width:354.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" fillcolor="white [3201]" strokecolor="black [3200]" strokeweight="1pt">
                <v:textbox>
                  <w:txbxContent>
                    <w:p w14:paraId="2FC71729" w14:textId="77777777" w:rsidR="00DF4CD8" w:rsidRPr="00F51F8E" w:rsidRDefault="00DF4CD8" w:rsidP="00B515BB">
                      <w:pPr>
                        <w:numPr>
                          <w:ilvl w:val="0"/>
                          <w:numId w:val="1"/>
                        </w:numPr>
                        <w:tabs>
                          <w:tab w:val="num" w:pos="270"/>
                        </w:tabs>
                        <w:ind w:left="270" w:hanging="270"/>
                        <w:contextualSpacing/>
                        <w:rPr>
                          <w:rFonts w:eastAsia="Times New Roman"/>
                          <w:sz w:val="20"/>
                          <w:szCs w:val="20"/>
                        </w:rPr>
                      </w:pPr>
                      <w:r>
                        <w:rPr>
                          <w:rFonts w:eastAsia="Times New Roman"/>
                          <w:sz w:val="20"/>
                          <w:szCs w:val="20"/>
                        </w:rPr>
                        <w:t xml:space="preserve">Ensure that all appropriate IT systems are modified to document acquisition, stocking, ordering, placement, counseling, consent, </w:t>
                      </w:r>
                      <w:proofErr w:type="gramStart"/>
                      <w:r>
                        <w:rPr>
                          <w:rFonts w:eastAsia="Times New Roman"/>
                          <w:sz w:val="20"/>
                          <w:szCs w:val="20"/>
                        </w:rPr>
                        <w:t>billing</w:t>
                      </w:r>
                      <w:proofErr w:type="gramEnd"/>
                      <w:r>
                        <w:rPr>
                          <w:rFonts w:eastAsia="Times New Roman"/>
                          <w:sz w:val="20"/>
                          <w:szCs w:val="20"/>
                        </w:rPr>
                        <w:t xml:space="preserve"> and reimbursement for IPLARC.</w:t>
                      </w:r>
                    </w:p>
                    <w:p w14:paraId="03D04026" w14:textId="77777777" w:rsidR="00DF4CD8" w:rsidRPr="006C7A23" w:rsidRDefault="00DF4CD8" w:rsidP="00B515BB">
                      <w:pPr>
                        <w:numPr>
                          <w:ilvl w:val="0"/>
                          <w:numId w:val="1"/>
                        </w:numPr>
                        <w:tabs>
                          <w:tab w:val="num" w:pos="270"/>
                        </w:tabs>
                        <w:ind w:left="270" w:hanging="270"/>
                        <w:contextualSpacing/>
                        <w:rPr>
                          <w:rFonts w:eastAsia="Times New Roman"/>
                          <w:color w:val="000000" w:themeColor="text1"/>
                          <w:sz w:val="20"/>
                          <w:szCs w:val="20"/>
                        </w:rPr>
                      </w:pPr>
                      <w:r>
                        <w:rPr>
                          <w:rFonts w:eastAsia="Times New Roman"/>
                          <w:color w:val="000000" w:themeColor="text1"/>
                          <w:sz w:val="20"/>
                          <w:szCs w:val="20"/>
                        </w:rPr>
                        <w:t>Store LARC devices on Labor &amp; Delivery and/or develop process for acquiring devices in a timely manner.</w:t>
                      </w:r>
                    </w:p>
                    <w:p w14:paraId="6739AF22" w14:textId="77777777" w:rsidR="00DF4CD8"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Modify L&amp;D, OB OR, postpartum and clinic workflows to include placement of LARC.</w:t>
                      </w:r>
                    </w:p>
                    <w:p w14:paraId="2B008BD3" w14:textId="163C73B1" w:rsidR="00DF4CD8" w:rsidRPr="00F51F8E" w:rsidRDefault="00DF4CD8" w:rsidP="00B515BB">
                      <w:pPr>
                        <w:numPr>
                          <w:ilvl w:val="0"/>
                          <w:numId w:val="1"/>
                        </w:numPr>
                        <w:tabs>
                          <w:tab w:val="num" w:pos="270"/>
                        </w:tabs>
                        <w:ind w:left="270" w:hanging="270"/>
                        <w:contextualSpacing/>
                        <w:rPr>
                          <w:rFonts w:eastAsia="Times New Roman"/>
                          <w:color w:val="262626" w:themeColor="text1" w:themeTint="D9"/>
                          <w:sz w:val="20"/>
                          <w:szCs w:val="20"/>
                        </w:rPr>
                      </w:pPr>
                      <w:r>
                        <w:rPr>
                          <w:rFonts w:eastAsia="Times New Roman"/>
                          <w:color w:val="262626" w:themeColor="text1" w:themeTint="D9"/>
                          <w:sz w:val="20"/>
                          <w:szCs w:val="20"/>
                        </w:rPr>
                        <w:t>Expand pharmacy capacity and device distribution to ensure timely</w:t>
                      </w:r>
                      <w:r w:rsidR="0036481B">
                        <w:rPr>
                          <w:rFonts w:eastAsia="Times New Roman"/>
                          <w:color w:val="262626" w:themeColor="text1" w:themeTint="D9"/>
                          <w:sz w:val="20"/>
                          <w:szCs w:val="20"/>
                        </w:rPr>
                        <w:t xml:space="preserve"> </w:t>
                      </w:r>
                      <w:r>
                        <w:rPr>
                          <w:rFonts w:eastAsia="Times New Roman"/>
                          <w:color w:val="262626" w:themeColor="text1" w:themeTint="D9"/>
                          <w:sz w:val="20"/>
                          <w:szCs w:val="20"/>
                        </w:rPr>
                        <w:t>placement.</w:t>
                      </w:r>
                    </w:p>
                  </w:txbxContent>
                </v:textbox>
              </v:rect>
            </w:pict>
          </mc:Fallback>
        </mc:AlternateContent>
      </w:r>
      <w:r w:rsidR="00DF4CD8" w:rsidRPr="00DF4CD8">
        <w:rPr>
          <w:b/>
          <w:bCs/>
          <w:noProof/>
        </w:rPr>
        <mc:AlternateContent>
          <mc:Choice Requires="wps">
            <w:drawing>
              <wp:anchor distT="0" distB="0" distL="114300" distR="114300" simplePos="0" relativeHeight="251672576" behindDoc="0" locked="0" layoutInCell="1" allowOverlap="1" wp14:anchorId="3883EEF8" wp14:editId="3A6C3BDC">
                <wp:simplePos x="0" y="0"/>
                <wp:positionH relativeFrom="column">
                  <wp:posOffset>1690370</wp:posOffset>
                </wp:positionH>
                <wp:positionV relativeFrom="paragraph">
                  <wp:posOffset>4533265</wp:posOffset>
                </wp:positionV>
                <wp:extent cx="2276475" cy="838200"/>
                <wp:effectExtent l="0" t="0" r="28575" b="19050"/>
                <wp:wrapNone/>
                <wp:docPr id="14338" name="Rectangle 9"/>
                <wp:cNvGraphicFramePr/>
                <a:graphic xmlns:a="http://schemas.openxmlformats.org/drawingml/2006/main">
                  <a:graphicData uri="http://schemas.microsoft.com/office/word/2010/wordprocessingShape">
                    <wps:wsp>
                      <wps:cNvSpPr/>
                      <wps:spPr>
                        <a:xfrm>
                          <a:off x="0" y="0"/>
                          <a:ext cx="2276475" cy="838200"/>
                        </a:xfrm>
                        <a:prstGeom prst="rect">
                          <a:avLst/>
                        </a:prstGeom>
                        <a:solidFill>
                          <a:srgbClr val="1B75BC"/>
                        </a:solidFill>
                        <a:ln w="12700" cap="flat" cmpd="sng" algn="ctr">
                          <a:solidFill>
                            <a:schemeClr val="tx1"/>
                          </a:solidFill>
                          <a:prstDash val="solid"/>
                        </a:ln>
                        <a:effectLst/>
                      </wps:spPr>
                      <wps:txbx>
                        <w:txbxContent>
                          <w:p w14:paraId="595A8A0C"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Providers and community partners are educated about contraceptive choice</w:t>
                            </w:r>
                            <w:r>
                              <w:rPr>
                                <w:rFonts w:hAnsi="Calibri"/>
                                <w:bCs/>
                                <w:color w:val="FFFFFF" w:themeColor="background1"/>
                                <w:kern w:val="24"/>
                              </w:rPr>
                              <w:t xml:space="preserve">s </w:t>
                            </w:r>
                            <w:r w:rsidRPr="00C267DA">
                              <w:rPr>
                                <w:rFonts w:hAnsi="Calibri"/>
                                <w:bCs/>
                                <w:color w:val="FFFFFF" w:themeColor="background1"/>
                                <w:kern w:val="24"/>
                              </w:rPr>
                              <w:t>and informed consent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83EEF8" id="Rectangle 9" o:spid="_x0000_s1027" style="position:absolute;margin-left:133.1pt;margin-top:356.95pt;width:179.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" fillcolor="#1b75bc" strokecolor="black [3213]" strokeweight="1pt">
                <v:textbox>
                  <w:txbxContent>
                    <w:p w14:paraId="595A8A0C"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Providers and community partners are educated about contraceptive choice</w:t>
                      </w:r>
                      <w:r>
                        <w:rPr>
                          <w:rFonts w:hAnsi="Calibri"/>
                          <w:bCs/>
                          <w:color w:val="FFFFFF" w:themeColor="background1"/>
                          <w:kern w:val="24"/>
                        </w:rPr>
                        <w:t xml:space="preserve">s </w:t>
                      </w:r>
                      <w:r w:rsidRPr="00C267DA">
                        <w:rPr>
                          <w:rFonts w:hAnsi="Calibri"/>
                          <w:bCs/>
                          <w:color w:val="FFFFFF" w:themeColor="background1"/>
                          <w:kern w:val="24"/>
                        </w:rPr>
                        <w:t>and informed consent</w:t>
                      </w:r>
                    </w:p>
                  </w:txbxContent>
                </v:textbox>
              </v:rect>
            </w:pict>
          </mc:Fallback>
        </mc:AlternateContent>
      </w:r>
      <w:r w:rsidR="00DF4CD8" w:rsidRPr="00DF4CD8">
        <w:rPr>
          <w:b/>
          <w:bCs/>
          <w:noProof/>
        </w:rPr>
        <mc:AlternateContent>
          <mc:Choice Requires="wps">
            <w:drawing>
              <wp:anchor distT="0" distB="0" distL="114300" distR="114300" simplePos="0" relativeHeight="251670528" behindDoc="0" locked="0" layoutInCell="1" allowOverlap="1" wp14:anchorId="4556896B" wp14:editId="12149BB2">
                <wp:simplePos x="0" y="0"/>
                <wp:positionH relativeFrom="column">
                  <wp:posOffset>1685290</wp:posOffset>
                </wp:positionH>
                <wp:positionV relativeFrom="paragraph">
                  <wp:posOffset>1941195</wp:posOffset>
                </wp:positionV>
                <wp:extent cx="2276475" cy="457200"/>
                <wp:effectExtent l="0" t="0" r="28575" b="19050"/>
                <wp:wrapNone/>
                <wp:docPr id="30" name="Rectangle 9"/>
                <wp:cNvGraphicFramePr/>
                <a:graphic xmlns:a="http://schemas.openxmlformats.org/drawingml/2006/main">
                  <a:graphicData uri="http://schemas.microsoft.com/office/word/2010/wordprocessingShape">
                    <wps:wsp>
                      <wps:cNvSpPr/>
                      <wps:spPr>
                        <a:xfrm>
                          <a:off x="0" y="0"/>
                          <a:ext cx="2276475" cy="457200"/>
                        </a:xfrm>
                        <a:prstGeom prst="rect">
                          <a:avLst/>
                        </a:prstGeom>
                        <a:solidFill>
                          <a:srgbClr val="1B75BC"/>
                        </a:solidFill>
                        <a:ln w="12700" cap="flat" cmpd="sng" algn="ctr">
                          <a:solidFill>
                            <a:schemeClr val="tx1"/>
                          </a:solidFill>
                          <a:prstDash val="solid"/>
                        </a:ln>
                        <a:effectLst/>
                      </wps:spPr>
                      <wps:txbx>
                        <w:txbxContent>
                          <w:p w14:paraId="4BDE2DEB"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EHR systems in place for IPLARC tracking</w:t>
                            </w:r>
                          </w:p>
                          <w:p w14:paraId="25947A3F" w14:textId="77777777" w:rsidR="00DF4CD8" w:rsidRPr="00C267DA" w:rsidRDefault="00DF4CD8" w:rsidP="00DF4CD8">
                            <w:pPr>
                              <w:shd w:val="clear" w:color="auto" w:fill="0070C0"/>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56896B" id="_x0000_s1028" style="position:absolute;margin-left:132.7pt;margin-top:152.85pt;width:179.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" fillcolor="#1b75bc" strokecolor="black [3213]" strokeweight="1pt">
                <v:textbox>
                  <w:txbxContent>
                    <w:p w14:paraId="4BDE2DEB"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EHR systems in place for IPLARC tracking</w:t>
                      </w:r>
                    </w:p>
                    <w:p w14:paraId="25947A3F" w14:textId="77777777" w:rsidR="00DF4CD8" w:rsidRPr="00C267DA" w:rsidRDefault="00DF4CD8" w:rsidP="00DF4CD8">
                      <w:pPr>
                        <w:shd w:val="clear" w:color="auto" w:fill="0070C0"/>
                        <w:spacing w:after="0"/>
                        <w:jc w:val="center"/>
                        <w:rPr>
                          <w:rFonts w:hAnsi="Calibri"/>
                          <w:bCs/>
                          <w:color w:val="FFFFFF" w:themeColor="background1"/>
                          <w:kern w:val="24"/>
                        </w:rPr>
                      </w:pPr>
                    </w:p>
                  </w:txbxContent>
                </v:textbox>
              </v:rect>
            </w:pict>
          </mc:Fallback>
        </mc:AlternateContent>
      </w:r>
      <w:r w:rsidR="00DF4CD8" w:rsidRPr="00DF4CD8">
        <w:rPr>
          <w:b/>
          <w:bCs/>
          <w:noProof/>
        </w:rPr>
        <mc:AlternateContent>
          <mc:Choice Requires="wps">
            <w:drawing>
              <wp:anchor distT="0" distB="0" distL="114300" distR="114300" simplePos="0" relativeHeight="251669504" behindDoc="0" locked="0" layoutInCell="1" allowOverlap="1" wp14:anchorId="0E96475D" wp14:editId="3E0066A7">
                <wp:simplePos x="0" y="0"/>
                <wp:positionH relativeFrom="column">
                  <wp:posOffset>1682115</wp:posOffset>
                </wp:positionH>
                <wp:positionV relativeFrom="paragraph">
                  <wp:posOffset>1301115</wp:posOffset>
                </wp:positionV>
                <wp:extent cx="2276475" cy="476885"/>
                <wp:effectExtent l="0" t="0" r="28575" b="18415"/>
                <wp:wrapNone/>
                <wp:docPr id="20" name="Rectangle 17"/>
                <wp:cNvGraphicFramePr/>
                <a:graphic xmlns:a="http://schemas.openxmlformats.org/drawingml/2006/main">
                  <a:graphicData uri="http://schemas.microsoft.com/office/word/2010/wordprocessingShape">
                    <wps:wsp>
                      <wps:cNvSpPr/>
                      <wps:spPr>
                        <a:xfrm>
                          <a:off x="0" y="0"/>
                          <a:ext cx="2276475" cy="476885"/>
                        </a:xfrm>
                        <a:prstGeom prst="rect">
                          <a:avLst/>
                        </a:prstGeom>
                        <a:solidFill>
                          <a:srgbClr val="1B75BC"/>
                        </a:solidFill>
                        <a:ln w="12700" cap="flat" cmpd="sng" algn="ctr">
                          <a:solidFill>
                            <a:schemeClr val="tx1"/>
                          </a:solidFill>
                          <a:prstDash val="solid"/>
                        </a:ln>
                        <a:effectLst/>
                      </wps:spPr>
                      <wps:txbx>
                        <w:txbxContent>
                          <w:p w14:paraId="3AA029A0"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Hospitals reimbursed for IPLARC insertion</w:t>
                            </w:r>
                          </w:p>
                          <w:p w14:paraId="2D69B8AA" w14:textId="77777777" w:rsidR="00DF4CD8" w:rsidRPr="00C267DA" w:rsidRDefault="00DF4CD8" w:rsidP="00DF4CD8">
                            <w:pPr>
                              <w:shd w:val="clear" w:color="auto" w:fill="0070C0"/>
                              <w:spacing w:after="0"/>
                              <w:jc w:val="center"/>
                              <w:rPr>
                                <w:color w:val="FFFFFF" w:themeColor="background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96475D" id="Rectangle 17" o:spid="_x0000_s1029" style="position:absolute;margin-left:132.45pt;margin-top:102.45pt;width:179.2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" fillcolor="#1b75bc" strokecolor="black [3213]" strokeweight="1pt">
                <v:textbox>
                  <w:txbxContent>
                    <w:p w14:paraId="3AA029A0"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Hospitals reimbursed for IPLARC insertion</w:t>
                      </w:r>
                    </w:p>
                    <w:p w14:paraId="2D69B8AA" w14:textId="77777777" w:rsidR="00DF4CD8" w:rsidRPr="00C267DA" w:rsidRDefault="00DF4CD8" w:rsidP="00DF4CD8">
                      <w:pPr>
                        <w:shd w:val="clear" w:color="auto" w:fill="0070C0"/>
                        <w:spacing w:after="0"/>
                        <w:jc w:val="center"/>
                        <w:rPr>
                          <w:color w:val="FFFFFF" w:themeColor="background1"/>
                        </w:rPr>
                      </w:pPr>
                    </w:p>
                  </w:txbxContent>
                </v:textbox>
              </v:rect>
            </w:pict>
          </mc:Fallback>
        </mc:AlternateContent>
      </w:r>
      <w:r w:rsidR="00DF4CD8" w:rsidRPr="00DF4CD8">
        <w:rPr>
          <w:b/>
          <w:bCs/>
          <w:noProof/>
        </w:rPr>
        <mc:AlternateContent>
          <mc:Choice Requires="wps">
            <w:drawing>
              <wp:anchor distT="0" distB="0" distL="114300" distR="114300" simplePos="0" relativeHeight="251667456" behindDoc="0" locked="0" layoutInCell="1" allowOverlap="1" wp14:anchorId="436ED636" wp14:editId="40E6EB29">
                <wp:simplePos x="0" y="0"/>
                <wp:positionH relativeFrom="column">
                  <wp:posOffset>1685925</wp:posOffset>
                </wp:positionH>
                <wp:positionV relativeFrom="paragraph">
                  <wp:posOffset>661035</wp:posOffset>
                </wp:positionV>
                <wp:extent cx="2276475" cy="495300"/>
                <wp:effectExtent l="0" t="0" r="28575" b="19050"/>
                <wp:wrapNone/>
                <wp:docPr id="19" name="Rectangle 17"/>
                <wp:cNvGraphicFramePr/>
                <a:graphic xmlns:a="http://schemas.openxmlformats.org/drawingml/2006/main">
                  <a:graphicData uri="http://schemas.microsoft.com/office/word/2010/wordprocessingShape">
                    <wps:wsp>
                      <wps:cNvSpPr/>
                      <wps:spPr>
                        <a:xfrm>
                          <a:off x="0" y="0"/>
                          <a:ext cx="2276475" cy="495300"/>
                        </a:xfrm>
                        <a:prstGeom prst="rect">
                          <a:avLst/>
                        </a:prstGeom>
                        <a:solidFill>
                          <a:srgbClr val="1B75B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0DEFD" w14:textId="77777777" w:rsidR="00DF4CD8" w:rsidRPr="00C267DA" w:rsidRDefault="00DF4CD8" w:rsidP="00DF4CD8">
                            <w:pPr>
                              <w:shd w:val="clear" w:color="auto" w:fill="0070C0"/>
                              <w:spacing w:after="0"/>
                              <w:jc w:val="center"/>
                              <w:rPr>
                                <w:color w:val="FFFFFF" w:themeColor="background1"/>
                              </w:rPr>
                            </w:pPr>
                            <w:r w:rsidRPr="00C267DA">
                              <w:rPr>
                                <w:rFonts w:ascii="Calibri" w:hAnsi="Calibri"/>
                                <w:bCs/>
                                <w:color w:val="FFFFFF" w:themeColor="background1"/>
                                <w:kern w:val="24"/>
                              </w:rPr>
                              <w:t>LARCs are available for immediate postpartum 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6ED636" id="_x0000_s1030" style="position:absolute;margin-left:132.75pt;margin-top:52.05pt;width:179.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" fillcolor="#1b75bc" strokecolor="black [3213]" strokeweight="1pt">
                <v:textbox>
                  <w:txbxContent>
                    <w:p w14:paraId="4F00DEFD" w14:textId="77777777" w:rsidR="00DF4CD8" w:rsidRPr="00C267DA" w:rsidRDefault="00DF4CD8" w:rsidP="00DF4CD8">
                      <w:pPr>
                        <w:shd w:val="clear" w:color="auto" w:fill="0070C0"/>
                        <w:spacing w:after="0"/>
                        <w:jc w:val="center"/>
                        <w:rPr>
                          <w:color w:val="FFFFFF" w:themeColor="background1"/>
                        </w:rPr>
                      </w:pPr>
                      <w:r w:rsidRPr="00C267DA">
                        <w:rPr>
                          <w:rFonts w:ascii="Calibri" w:hAnsi="Calibri"/>
                          <w:bCs/>
                          <w:color w:val="FFFFFF" w:themeColor="background1"/>
                          <w:kern w:val="24"/>
                        </w:rPr>
                        <w:t>LARCs are available for immediate postpartum insertion</w:t>
                      </w:r>
                    </w:p>
                  </w:txbxContent>
                </v:textbox>
              </v:rect>
            </w:pict>
          </mc:Fallback>
        </mc:AlternateContent>
      </w:r>
      <w:r w:rsidR="00DF4CD8" w:rsidRPr="00DF4CD8">
        <w:rPr>
          <w:b/>
          <w:bCs/>
          <w:noProof/>
        </w:rPr>
        <mc:AlternateContent>
          <mc:Choice Requires="wps">
            <w:drawing>
              <wp:anchor distT="0" distB="0" distL="114300" distR="114300" simplePos="0" relativeHeight="251664384" behindDoc="0" locked="0" layoutInCell="1" allowOverlap="1" wp14:anchorId="38F9F53B" wp14:editId="59D522BB">
                <wp:simplePos x="0" y="0"/>
                <wp:positionH relativeFrom="column">
                  <wp:posOffset>-501015</wp:posOffset>
                </wp:positionH>
                <wp:positionV relativeFrom="paragraph">
                  <wp:posOffset>307975</wp:posOffset>
                </wp:positionV>
                <wp:extent cx="1943100" cy="5240020"/>
                <wp:effectExtent l="0" t="0" r="19050" b="17780"/>
                <wp:wrapNone/>
                <wp:docPr id="15" name="Rectangle 6"/>
                <wp:cNvGraphicFramePr/>
                <a:graphic xmlns:a="http://schemas.openxmlformats.org/drawingml/2006/main">
                  <a:graphicData uri="http://schemas.microsoft.com/office/word/2010/wordprocessingShape">
                    <wps:wsp>
                      <wps:cNvSpPr/>
                      <wps:spPr>
                        <a:xfrm>
                          <a:off x="0" y="0"/>
                          <a:ext cx="1943100" cy="5240020"/>
                        </a:xfrm>
                        <a:prstGeom prst="rect">
                          <a:avLst/>
                        </a:prstGeom>
                        <a:solidFill>
                          <a:srgbClr val="D56283"/>
                        </a:solidFill>
                        <a:ln w="12700"/>
                      </wps:spPr>
                      <wps:style>
                        <a:lnRef idx="2">
                          <a:schemeClr val="dk1"/>
                        </a:lnRef>
                        <a:fillRef idx="1">
                          <a:schemeClr val="lt1"/>
                        </a:fillRef>
                        <a:effectRef idx="0">
                          <a:schemeClr val="dk1"/>
                        </a:effectRef>
                        <a:fontRef idx="minor">
                          <a:schemeClr val="dk1"/>
                        </a:fontRef>
                      </wps:style>
                      <wps:txbx>
                        <w:txbxContent>
                          <w:p w14:paraId="3BA0A957" w14:textId="7777777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D</w:t>
                            </w:r>
                            <w:r w:rsidRPr="0013785C">
                              <w:rPr>
                                <w:rFonts w:ascii="Calibri" w:eastAsia="ヒラギノ角ゴ Pro W3" w:hAnsi="Calibri" w:cs="Arial"/>
                                <w:color w:val="FFFFFF" w:themeColor="background1"/>
                                <w:kern w:val="24"/>
                              </w:rPr>
                              <w:t>evelop the supporting structure, processes, team roles, and skills to offer comprehensive contraceptive counseling, including</w:t>
                            </w:r>
                            <w:r>
                              <w:rPr>
                                <w:rFonts w:ascii="Calibri" w:eastAsia="ヒラギノ角ゴ Pro W3" w:hAnsi="Calibri" w:cs="Arial"/>
                                <w:color w:val="FFFFFF" w:themeColor="background1"/>
                                <w:kern w:val="24"/>
                              </w:rPr>
                              <w:t xml:space="preserve"> IPLARC</w:t>
                            </w:r>
                          </w:p>
                          <w:p w14:paraId="799530C6" w14:textId="718DBE9D"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65D67855" w14:textId="77777777" w:rsidR="00306B55" w:rsidRDefault="00306B55" w:rsidP="00DF4CD8">
                            <w:pPr>
                              <w:kinsoku w:val="0"/>
                              <w:overflowPunct w:val="0"/>
                              <w:spacing w:after="0"/>
                              <w:textAlignment w:val="baseline"/>
                              <w:rPr>
                                <w:rFonts w:ascii="Calibri" w:eastAsia="ヒラギノ角ゴ Pro W3" w:hAnsi="Calibri" w:cs="Arial"/>
                                <w:color w:val="FFFFFF" w:themeColor="background1"/>
                                <w:kern w:val="24"/>
                              </w:rPr>
                            </w:pPr>
                          </w:p>
                          <w:p w14:paraId="6B7D2678" w14:textId="1455134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Once the s</w:t>
                            </w:r>
                            <w:r w:rsidRPr="0013785C">
                              <w:rPr>
                                <w:rFonts w:ascii="Calibri" w:eastAsia="ヒラギノ角ゴ Pro W3" w:hAnsi="Calibri" w:cs="Arial"/>
                                <w:color w:val="FFFFFF" w:themeColor="background1"/>
                                <w:kern w:val="24"/>
                              </w:rPr>
                              <w:t>ites’ infrastructure to offer LARC is in p</w:t>
                            </w:r>
                            <w:r>
                              <w:rPr>
                                <w:rFonts w:ascii="Calibri" w:eastAsia="ヒラギノ角ゴ Pro W3" w:hAnsi="Calibri" w:cs="Arial"/>
                                <w:color w:val="FFFFFF" w:themeColor="background1"/>
                                <w:kern w:val="24"/>
                              </w:rPr>
                              <w:t>lace, the PA PQC IPLARC initiative will</w:t>
                            </w:r>
                            <w:r w:rsidRPr="0013785C">
                              <w:rPr>
                                <w:rFonts w:ascii="Calibri" w:eastAsia="ヒラギノ角ゴ Pro W3" w:hAnsi="Calibri" w:cs="Arial"/>
                                <w:color w:val="FFFFFF" w:themeColor="background1"/>
                                <w:kern w:val="24"/>
                              </w:rPr>
                              <w:t xml:space="preserve"> increase placement of IPLARC among eligible </w:t>
                            </w:r>
                            <w:r w:rsidR="005D597C">
                              <w:rPr>
                                <w:rFonts w:ascii="Calibri" w:eastAsia="ヒラギノ角ゴ Pro W3" w:hAnsi="Calibri" w:cs="Arial"/>
                                <w:color w:val="FFFFFF" w:themeColor="background1"/>
                                <w:kern w:val="24"/>
                              </w:rPr>
                              <w:t xml:space="preserve">individuals </w:t>
                            </w:r>
                            <w:r w:rsidRPr="0013785C">
                              <w:rPr>
                                <w:rFonts w:ascii="Calibri" w:eastAsia="ヒラギノ角ゴ Pro W3" w:hAnsi="Calibri" w:cs="Arial"/>
                                <w:color w:val="FFFFFF" w:themeColor="background1"/>
                                <w:kern w:val="24"/>
                              </w:rPr>
                              <w:t>desiring IPLARC</w:t>
                            </w:r>
                          </w:p>
                          <w:p w14:paraId="3B39C441" w14:textId="77777777" w:rsidR="00DF4CD8" w:rsidRPr="00C267DA"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322AB26D" w14:textId="77777777" w:rsidR="00DF4CD8" w:rsidRPr="00C267DA" w:rsidRDefault="00DF4CD8" w:rsidP="00DF4CD8">
                            <w:pPr>
                              <w:kinsoku w:val="0"/>
                              <w:overflowPunct w:val="0"/>
                              <w:spacing w:after="0"/>
                              <w:ind w:left="270"/>
                              <w:textAlignment w:val="baseline"/>
                              <w:rPr>
                                <w:rFonts w:ascii="Calibri" w:eastAsia="ヒラギノ角ゴ Pro W3" w:hAnsi="Calibri" w:cs="Arial"/>
                                <w:color w:val="FFFFFF" w:themeColor="background1"/>
                                <w:kern w:val="24"/>
                              </w:rPr>
                            </w:pPr>
                          </w:p>
                          <w:p w14:paraId="2B0BDE02" w14:textId="77777777" w:rsidR="00DF4CD8" w:rsidRPr="00C267DA" w:rsidRDefault="00DF4CD8" w:rsidP="00DF4CD8">
                            <w:pPr>
                              <w:rPr>
                                <w:color w:val="FFFFFF" w:themeColor="background1"/>
                                <w:sz w:val="32"/>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F9F53B" id="Rectangle 6" o:spid="_x0000_s1031" style="position:absolute;margin-left:-39.45pt;margin-top:24.25pt;width:153pt;height:4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" fillcolor="#d56283" strokecolor="black [3200]" strokeweight="1pt">
                <v:textbox>
                  <w:txbxContent>
                    <w:p w14:paraId="3BA0A957" w14:textId="7777777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D</w:t>
                      </w:r>
                      <w:r w:rsidRPr="0013785C">
                        <w:rPr>
                          <w:rFonts w:ascii="Calibri" w:eastAsia="ヒラギノ角ゴ Pro W3" w:hAnsi="Calibri" w:cs="Arial"/>
                          <w:color w:val="FFFFFF" w:themeColor="background1"/>
                          <w:kern w:val="24"/>
                        </w:rPr>
                        <w:t>evelop the supporting structure, processes, team roles, and skills to offer comprehensive contraceptive counseling, including</w:t>
                      </w:r>
                      <w:r>
                        <w:rPr>
                          <w:rFonts w:ascii="Calibri" w:eastAsia="ヒラギノ角ゴ Pro W3" w:hAnsi="Calibri" w:cs="Arial"/>
                          <w:color w:val="FFFFFF" w:themeColor="background1"/>
                          <w:kern w:val="24"/>
                        </w:rPr>
                        <w:t xml:space="preserve"> IPLARC</w:t>
                      </w:r>
                    </w:p>
                    <w:p w14:paraId="799530C6" w14:textId="718DBE9D"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65D67855" w14:textId="77777777" w:rsidR="00306B55" w:rsidRDefault="00306B55" w:rsidP="00DF4CD8">
                      <w:pPr>
                        <w:kinsoku w:val="0"/>
                        <w:overflowPunct w:val="0"/>
                        <w:spacing w:after="0"/>
                        <w:textAlignment w:val="baseline"/>
                        <w:rPr>
                          <w:rFonts w:ascii="Calibri" w:eastAsia="ヒラギノ角ゴ Pro W3" w:hAnsi="Calibri" w:cs="Arial"/>
                          <w:color w:val="FFFFFF" w:themeColor="background1"/>
                          <w:kern w:val="24"/>
                        </w:rPr>
                      </w:pPr>
                    </w:p>
                    <w:p w14:paraId="6B7D2678" w14:textId="14551347" w:rsidR="00DF4CD8" w:rsidRDefault="00DF4CD8" w:rsidP="00DF4CD8">
                      <w:pPr>
                        <w:kinsoku w:val="0"/>
                        <w:overflowPunct w:val="0"/>
                        <w:spacing w:after="0"/>
                        <w:textAlignment w:val="baseline"/>
                        <w:rPr>
                          <w:rFonts w:ascii="Calibri" w:eastAsia="ヒラギノ角ゴ Pro W3" w:hAnsi="Calibri" w:cs="Arial"/>
                          <w:color w:val="FFFFFF" w:themeColor="background1"/>
                          <w:kern w:val="24"/>
                        </w:rPr>
                      </w:pPr>
                      <w:r>
                        <w:rPr>
                          <w:rFonts w:ascii="Calibri" w:eastAsia="ヒラギノ角ゴ Pro W3" w:hAnsi="Calibri" w:cs="Arial"/>
                          <w:color w:val="FFFFFF" w:themeColor="background1"/>
                          <w:kern w:val="24"/>
                        </w:rPr>
                        <w:t>Once the s</w:t>
                      </w:r>
                      <w:r w:rsidRPr="0013785C">
                        <w:rPr>
                          <w:rFonts w:ascii="Calibri" w:eastAsia="ヒラギノ角ゴ Pro W3" w:hAnsi="Calibri" w:cs="Arial"/>
                          <w:color w:val="FFFFFF" w:themeColor="background1"/>
                          <w:kern w:val="24"/>
                        </w:rPr>
                        <w:t>ites’ infrastructure to offer LARC is in p</w:t>
                      </w:r>
                      <w:r>
                        <w:rPr>
                          <w:rFonts w:ascii="Calibri" w:eastAsia="ヒラギノ角ゴ Pro W3" w:hAnsi="Calibri" w:cs="Arial"/>
                          <w:color w:val="FFFFFF" w:themeColor="background1"/>
                          <w:kern w:val="24"/>
                        </w:rPr>
                        <w:t>lace, the PA PQC IPLARC initiative will</w:t>
                      </w:r>
                      <w:r w:rsidRPr="0013785C">
                        <w:rPr>
                          <w:rFonts w:ascii="Calibri" w:eastAsia="ヒラギノ角ゴ Pro W3" w:hAnsi="Calibri" w:cs="Arial"/>
                          <w:color w:val="FFFFFF" w:themeColor="background1"/>
                          <w:kern w:val="24"/>
                        </w:rPr>
                        <w:t xml:space="preserve"> increase placement of IPLARC among eligible </w:t>
                      </w:r>
                      <w:r w:rsidR="005D597C">
                        <w:rPr>
                          <w:rFonts w:ascii="Calibri" w:eastAsia="ヒラギノ角ゴ Pro W3" w:hAnsi="Calibri" w:cs="Arial"/>
                          <w:color w:val="FFFFFF" w:themeColor="background1"/>
                          <w:kern w:val="24"/>
                        </w:rPr>
                        <w:t xml:space="preserve">individuals </w:t>
                      </w:r>
                      <w:r w:rsidRPr="0013785C">
                        <w:rPr>
                          <w:rFonts w:ascii="Calibri" w:eastAsia="ヒラギノ角ゴ Pro W3" w:hAnsi="Calibri" w:cs="Arial"/>
                          <w:color w:val="FFFFFF" w:themeColor="background1"/>
                          <w:kern w:val="24"/>
                        </w:rPr>
                        <w:t>desiring IPLARC</w:t>
                      </w:r>
                    </w:p>
                    <w:p w14:paraId="3B39C441" w14:textId="77777777" w:rsidR="00DF4CD8" w:rsidRPr="00C267DA" w:rsidRDefault="00DF4CD8" w:rsidP="00DF4CD8">
                      <w:pPr>
                        <w:kinsoku w:val="0"/>
                        <w:overflowPunct w:val="0"/>
                        <w:spacing w:after="0"/>
                        <w:textAlignment w:val="baseline"/>
                        <w:rPr>
                          <w:rFonts w:ascii="Calibri" w:eastAsia="ヒラギノ角ゴ Pro W3" w:hAnsi="Calibri" w:cs="Arial"/>
                          <w:color w:val="FFFFFF" w:themeColor="background1"/>
                          <w:kern w:val="24"/>
                        </w:rPr>
                      </w:pPr>
                    </w:p>
                    <w:p w14:paraId="322AB26D" w14:textId="77777777" w:rsidR="00DF4CD8" w:rsidRPr="00C267DA" w:rsidRDefault="00DF4CD8" w:rsidP="00DF4CD8">
                      <w:pPr>
                        <w:kinsoku w:val="0"/>
                        <w:overflowPunct w:val="0"/>
                        <w:spacing w:after="0"/>
                        <w:ind w:left="270"/>
                        <w:textAlignment w:val="baseline"/>
                        <w:rPr>
                          <w:rFonts w:ascii="Calibri" w:eastAsia="ヒラギノ角ゴ Pro W3" w:hAnsi="Calibri" w:cs="Arial"/>
                          <w:color w:val="FFFFFF" w:themeColor="background1"/>
                          <w:kern w:val="24"/>
                        </w:rPr>
                      </w:pPr>
                    </w:p>
                    <w:p w14:paraId="2B0BDE02" w14:textId="77777777" w:rsidR="00DF4CD8" w:rsidRPr="00C267DA" w:rsidRDefault="00DF4CD8" w:rsidP="00DF4CD8">
                      <w:pPr>
                        <w:rPr>
                          <w:color w:val="FFFFFF" w:themeColor="background1"/>
                          <w:sz w:val="32"/>
                          <w:szCs w:val="24"/>
                        </w:rPr>
                      </w:pPr>
                    </w:p>
                  </w:txbxContent>
                </v:textbox>
              </v:rect>
            </w:pict>
          </mc:Fallback>
        </mc:AlternateContent>
      </w:r>
      <w:r w:rsidR="00DF4CD8" w:rsidRPr="00DF4CD8">
        <w:rPr>
          <w:b/>
          <w:bCs/>
          <w:noProof/>
        </w:rPr>
        <mc:AlternateContent>
          <mc:Choice Requires="wps">
            <w:drawing>
              <wp:anchor distT="0" distB="0" distL="114300" distR="114300" simplePos="0" relativeHeight="251661312" behindDoc="0" locked="0" layoutInCell="1" allowOverlap="1" wp14:anchorId="7E6DAD08" wp14:editId="51A1F365">
                <wp:simplePos x="0" y="0"/>
                <wp:positionH relativeFrom="column">
                  <wp:posOffset>5365750</wp:posOffset>
                </wp:positionH>
                <wp:positionV relativeFrom="paragraph">
                  <wp:posOffset>-127635</wp:posOffset>
                </wp:positionV>
                <wp:extent cx="2247900" cy="461645"/>
                <wp:effectExtent l="0" t="0" r="0" b="0"/>
                <wp:wrapNone/>
                <wp:docPr id="13" name="TextBox 5"/>
                <wp:cNvGraphicFramePr/>
                <a:graphic xmlns:a="http://schemas.openxmlformats.org/drawingml/2006/main">
                  <a:graphicData uri="http://schemas.microsoft.com/office/word/2010/wordprocessingShape">
                    <wps:wsp>
                      <wps:cNvSpPr txBox="1"/>
                      <wps:spPr>
                        <a:xfrm>
                          <a:off x="0" y="0"/>
                          <a:ext cx="2247900" cy="461645"/>
                        </a:xfrm>
                        <a:prstGeom prst="rect">
                          <a:avLst/>
                        </a:prstGeom>
                        <a:noFill/>
                      </wps:spPr>
                      <wps:txbx>
                        <w:txbxContent>
                          <w:p w14:paraId="38022EBC"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Key Interventions</w:t>
                            </w:r>
                          </w:p>
                        </w:txbxContent>
                      </wps:txbx>
                      <wps:bodyPr wrap="square" rtlCol="0">
                        <a:spAutoFit/>
                      </wps:bodyPr>
                    </wps:wsp>
                  </a:graphicData>
                </a:graphic>
                <wp14:sizeRelH relativeFrom="margin">
                  <wp14:pctWidth>0</wp14:pctWidth>
                </wp14:sizeRelH>
              </wp:anchor>
            </w:drawing>
          </mc:Choice>
          <mc:Fallback>
            <w:pict>
              <v:shapetype w14:anchorId="7E6DAD08" id="_x0000_t202" coordsize="21600,21600" o:spt="202" path="m,l,21600r21600,l21600,xe">
                <v:stroke joinstyle="miter"/>
                <v:path gradientshapeok="t" o:connecttype="rect"/>
              </v:shapetype>
              <v:shape id="TextBox 5" o:spid="_x0000_s1032" type="#_x0000_t202" style="position:absolute;margin-left:422.5pt;margin-top:-10.05pt;width:177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" filled="f" stroked="f">
                <v:textbox style="mso-fit-shape-to-text:t">
                  <w:txbxContent>
                    <w:p w14:paraId="38022EBC"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Key Interventions</w:t>
                      </w:r>
                    </w:p>
                  </w:txbxContent>
                </v:textbox>
              </v:shape>
            </w:pict>
          </mc:Fallback>
        </mc:AlternateContent>
      </w:r>
      <w:r w:rsidR="00DF4CD8" w:rsidRPr="00DF4CD8">
        <w:rPr>
          <w:b/>
          <w:bCs/>
          <w:noProof/>
        </w:rPr>
        <mc:AlternateContent>
          <mc:Choice Requires="wps">
            <w:drawing>
              <wp:anchor distT="0" distB="0" distL="114300" distR="114300" simplePos="0" relativeHeight="251660288" behindDoc="0" locked="0" layoutInCell="1" allowOverlap="1" wp14:anchorId="3BFE26E2" wp14:editId="0EF615FE">
                <wp:simplePos x="0" y="0"/>
                <wp:positionH relativeFrom="column">
                  <wp:posOffset>2260600</wp:posOffset>
                </wp:positionH>
                <wp:positionV relativeFrom="paragraph">
                  <wp:posOffset>-118745</wp:posOffset>
                </wp:positionV>
                <wp:extent cx="1085850" cy="461645"/>
                <wp:effectExtent l="0" t="0" r="0" b="0"/>
                <wp:wrapNone/>
                <wp:docPr id="14" name="TextBox 4"/>
                <wp:cNvGraphicFramePr/>
                <a:graphic xmlns:a="http://schemas.openxmlformats.org/drawingml/2006/main">
                  <a:graphicData uri="http://schemas.microsoft.com/office/word/2010/wordprocessingShape">
                    <wps:wsp>
                      <wps:cNvSpPr txBox="1"/>
                      <wps:spPr>
                        <a:xfrm>
                          <a:off x="0" y="0"/>
                          <a:ext cx="1085850" cy="461645"/>
                        </a:xfrm>
                        <a:prstGeom prst="rect">
                          <a:avLst/>
                        </a:prstGeom>
                        <a:noFill/>
                      </wps:spPr>
                      <wps:txbx>
                        <w:txbxContent>
                          <w:p w14:paraId="42DD1F2F"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Drivers</w:t>
                            </w:r>
                          </w:p>
                        </w:txbxContent>
                      </wps:txbx>
                      <wps:bodyPr wrap="square" rtlCol="0">
                        <a:spAutoFit/>
                      </wps:bodyPr>
                    </wps:wsp>
                  </a:graphicData>
                </a:graphic>
                <wp14:sizeRelH relativeFrom="margin">
                  <wp14:pctWidth>0</wp14:pctWidth>
                </wp14:sizeRelH>
              </wp:anchor>
            </w:drawing>
          </mc:Choice>
          <mc:Fallback>
            <w:pict>
              <v:shape w14:anchorId="3BFE26E2" id="TextBox 4" o:spid="_x0000_s1033" type="#_x0000_t202" style="position:absolute;margin-left:178pt;margin-top:-9.35pt;width:85.5pt;height:3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" filled="f" stroked="f">
                <v:textbox style="mso-fit-shape-to-text:t">
                  <w:txbxContent>
                    <w:p w14:paraId="42DD1F2F"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Drivers</w:t>
                      </w:r>
                    </w:p>
                  </w:txbxContent>
                </v:textbox>
              </v:shape>
            </w:pict>
          </mc:Fallback>
        </mc:AlternateContent>
      </w:r>
      <w:r w:rsidR="00DF4CD8" w:rsidRPr="00DF4CD8">
        <w:rPr>
          <w:b/>
          <w:bCs/>
          <w:noProof/>
        </w:rPr>
        <mc:AlternateContent>
          <mc:Choice Requires="wps">
            <w:drawing>
              <wp:anchor distT="0" distB="0" distL="114300" distR="114300" simplePos="0" relativeHeight="251659264" behindDoc="0" locked="0" layoutInCell="1" allowOverlap="1" wp14:anchorId="11F1DEFA" wp14:editId="77E9EAEB">
                <wp:simplePos x="0" y="0"/>
                <wp:positionH relativeFrom="column">
                  <wp:posOffset>-21507</wp:posOffset>
                </wp:positionH>
                <wp:positionV relativeFrom="paragraph">
                  <wp:posOffset>-103726</wp:posOffset>
                </wp:positionV>
                <wp:extent cx="819150" cy="461645"/>
                <wp:effectExtent l="0" t="0" r="0" b="0"/>
                <wp:wrapNone/>
                <wp:docPr id="16"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594B8FEB"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Aims</w:t>
                            </w:r>
                          </w:p>
                        </w:txbxContent>
                      </wps:txbx>
                      <wps:bodyPr wrap="square" rtlCol="0">
                        <a:spAutoFit/>
                      </wps:bodyPr>
                    </wps:wsp>
                  </a:graphicData>
                </a:graphic>
                <wp14:sizeRelH relativeFrom="margin">
                  <wp14:pctWidth>0</wp14:pctWidth>
                </wp14:sizeRelH>
              </wp:anchor>
            </w:drawing>
          </mc:Choice>
          <mc:Fallback>
            <w:pict>
              <v:shape w14:anchorId="11F1DEFA" id="TextBox 2" o:spid="_x0000_s1034" type="#_x0000_t202" style="position:absolute;margin-left:-1.7pt;margin-top:-8.15pt;width:64.5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" filled="f" stroked="f">
                <v:textbox style="mso-fit-shape-to-text:t">
                  <w:txbxContent>
                    <w:p w14:paraId="594B8FEB" w14:textId="77777777" w:rsidR="00DF4CD8" w:rsidRPr="00FF4F21" w:rsidRDefault="00DF4CD8" w:rsidP="00DF4CD8">
                      <w:pPr>
                        <w:spacing w:after="0"/>
                        <w:rPr>
                          <w:sz w:val="40"/>
                          <w:szCs w:val="40"/>
                          <w:u w:val="single"/>
                        </w:rPr>
                      </w:pPr>
                      <w:r w:rsidRPr="00FF4F21">
                        <w:rPr>
                          <w:rFonts w:ascii="Calibri" w:hAnsi="Calibri"/>
                          <w:b/>
                          <w:bCs/>
                          <w:color w:val="000000"/>
                          <w:kern w:val="24"/>
                          <w:sz w:val="40"/>
                          <w:szCs w:val="40"/>
                          <w:u w:val="single"/>
                        </w:rPr>
                        <w:t>Aims</w:t>
                      </w:r>
                    </w:p>
                  </w:txbxContent>
                </v:textbox>
              </v:shape>
            </w:pict>
          </mc:Fallback>
        </mc:AlternateContent>
      </w:r>
    </w:p>
    <w:p w14:paraId="227F9AD8" w14:textId="6878D00E" w:rsidR="00DF4CD8" w:rsidRDefault="00DF4CD8" w:rsidP="00694E6F">
      <w:pPr>
        <w:rPr>
          <w:b/>
          <w:bCs/>
        </w:rPr>
      </w:pPr>
    </w:p>
    <w:p w14:paraId="40A21C1A" w14:textId="334FFE25" w:rsidR="00DF4CD8" w:rsidRDefault="00DF4CD8" w:rsidP="00694E6F">
      <w:pPr>
        <w:rPr>
          <w:b/>
          <w:bCs/>
        </w:rPr>
      </w:pPr>
    </w:p>
    <w:p w14:paraId="70A9C276" w14:textId="3BE4173D" w:rsidR="00DF4CD8" w:rsidRDefault="00DF4CD8" w:rsidP="00694E6F">
      <w:pPr>
        <w:rPr>
          <w:b/>
          <w:bCs/>
        </w:rPr>
      </w:pPr>
    </w:p>
    <w:p w14:paraId="6728D16C" w14:textId="05983D7C" w:rsidR="00DF4CD8" w:rsidRDefault="00DF4CD8" w:rsidP="00694E6F">
      <w:pPr>
        <w:rPr>
          <w:b/>
          <w:bCs/>
        </w:rPr>
      </w:pPr>
    </w:p>
    <w:p w14:paraId="22F92D65" w14:textId="54E67A78" w:rsidR="00DF4CD8" w:rsidRDefault="0036481B" w:rsidP="00694E6F">
      <w:pPr>
        <w:rPr>
          <w:b/>
          <w:bCs/>
        </w:rPr>
      </w:pPr>
      <w:r w:rsidRPr="00DF4CD8">
        <w:rPr>
          <w:b/>
          <w:bCs/>
          <w:noProof/>
        </w:rPr>
        <mc:AlternateContent>
          <mc:Choice Requires="wps">
            <w:drawing>
              <wp:anchor distT="0" distB="0" distL="114300" distR="114300" simplePos="0" relativeHeight="251668480" behindDoc="0" locked="0" layoutInCell="1" allowOverlap="1" wp14:anchorId="7FA334BB" wp14:editId="108C1002">
                <wp:simplePos x="0" y="0"/>
                <wp:positionH relativeFrom="column">
                  <wp:posOffset>4171950</wp:posOffset>
                </wp:positionH>
                <wp:positionV relativeFrom="paragraph">
                  <wp:posOffset>280036</wp:posOffset>
                </wp:positionV>
                <wp:extent cx="4505325" cy="1885950"/>
                <wp:effectExtent l="0" t="0" r="28575" b="19050"/>
                <wp:wrapNone/>
                <wp:docPr id="28" name="Rectangle 15">
                  <a:extLst xmlns:a="http://schemas.openxmlformats.org/drawingml/2006/main">
                    <a:ext uri="{FF2B5EF4-FFF2-40B4-BE49-F238E27FC236}">
                      <a16:creationId xmlns:a16="http://schemas.microsoft.com/office/drawing/2014/main" id="{54B89412-0B0E-460E-9EF6-D2D3B727C601}"/>
                    </a:ext>
                  </a:extLst>
                </wp:docPr>
                <wp:cNvGraphicFramePr/>
                <a:graphic xmlns:a="http://schemas.openxmlformats.org/drawingml/2006/main">
                  <a:graphicData uri="http://schemas.microsoft.com/office/word/2010/wordprocessingShape">
                    <wps:wsp>
                      <wps:cNvSpPr/>
                      <wps:spPr>
                        <a:xfrm>
                          <a:off x="0" y="0"/>
                          <a:ext cx="4505325" cy="18859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F7778BB" w14:textId="77777777" w:rsidR="00DF4CD8" w:rsidRPr="00112E6A" w:rsidRDefault="00DF4CD8" w:rsidP="00B515BB">
                            <w:pPr>
                              <w:numPr>
                                <w:ilvl w:val="0"/>
                                <w:numId w:val="4"/>
                              </w:numPr>
                              <w:tabs>
                                <w:tab w:val="left" w:pos="180"/>
                              </w:tabs>
                              <w:contextualSpacing/>
                              <w:rPr>
                                <w:rFonts w:eastAsia="Times New Roman"/>
                                <w:sz w:val="20"/>
                                <w:szCs w:val="20"/>
                              </w:rPr>
                            </w:pPr>
                            <w:r>
                              <w:rPr>
                                <w:rFonts w:eastAsia="Times New Roman"/>
                                <w:sz w:val="20"/>
                                <w:szCs w:val="20"/>
                              </w:rPr>
                              <w:t xml:space="preserve">Establish and test billing codes and processes. </w:t>
                            </w:r>
                          </w:p>
                          <w:p w14:paraId="555FA28E" w14:textId="02442E0F"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Assure billing codes are in place and that staff in all necessary</w:t>
                            </w:r>
                            <w:r w:rsidR="0036481B">
                              <w:rPr>
                                <w:color w:val="000000"/>
                                <w:kern w:val="24"/>
                                <w:sz w:val="20"/>
                                <w:szCs w:val="20"/>
                              </w:rPr>
                              <w:t xml:space="preserve"> </w:t>
                            </w:r>
                            <w:r>
                              <w:rPr>
                                <w:color w:val="000000"/>
                                <w:kern w:val="24"/>
                                <w:sz w:val="20"/>
                                <w:szCs w:val="20"/>
                              </w:rPr>
                              <w:t>departments are educated on correct billing procedures.</w:t>
                            </w:r>
                          </w:p>
                          <w:p w14:paraId="50EC0EE8" w14:textId="77777777"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Have protocols in place for billing in/out of network, public/private insurance.</w:t>
                            </w:r>
                          </w:p>
                          <w:p w14:paraId="0B04B4A6"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Establish clear regular communication channels and processes, assuring that all departments are represented, and multidisciplinary support among appropriate departments.</w:t>
                            </w:r>
                          </w:p>
                          <w:p w14:paraId="4E92FA07" w14:textId="77777777" w:rsidR="00DF4CD8" w:rsidRPr="00507298" w:rsidRDefault="00DF4CD8" w:rsidP="00B515BB">
                            <w:pPr>
                              <w:numPr>
                                <w:ilvl w:val="0"/>
                                <w:numId w:val="4"/>
                              </w:numPr>
                              <w:tabs>
                                <w:tab w:val="left" w:pos="180"/>
                              </w:tabs>
                              <w:contextualSpacing/>
                              <w:rPr>
                                <w:rFonts w:eastAsia="Times New Roman"/>
                                <w:sz w:val="20"/>
                                <w:szCs w:val="20"/>
                              </w:rPr>
                            </w:pPr>
                            <w:r>
                              <w:rPr>
                                <w:color w:val="000000"/>
                                <w:kern w:val="24"/>
                                <w:sz w:val="20"/>
                                <w:szCs w:val="20"/>
                              </w:rPr>
                              <w:t>Participate in hands-on training of IPLARC insertion.</w:t>
                            </w:r>
                          </w:p>
                          <w:p w14:paraId="778EC172"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 xml:space="preserve">Establish consent processes for IPLARC that allows for transfer of consent from prenatal clinic as well as obtaining inpatient consent.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A334BB" id="Rectangle 15" o:spid="_x0000_s1035" style="position:absolute;margin-left:328.5pt;margin-top:22.05pt;width:354.7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" fillcolor="white [3201]" strokecolor="black [3200]" strokeweight="1pt">
                <v:textbox>
                  <w:txbxContent>
                    <w:p w14:paraId="6F7778BB" w14:textId="77777777" w:rsidR="00DF4CD8" w:rsidRPr="00112E6A" w:rsidRDefault="00DF4CD8" w:rsidP="00B515BB">
                      <w:pPr>
                        <w:numPr>
                          <w:ilvl w:val="0"/>
                          <w:numId w:val="4"/>
                        </w:numPr>
                        <w:tabs>
                          <w:tab w:val="left" w:pos="180"/>
                        </w:tabs>
                        <w:contextualSpacing/>
                        <w:rPr>
                          <w:rFonts w:eastAsia="Times New Roman"/>
                          <w:sz w:val="20"/>
                          <w:szCs w:val="20"/>
                        </w:rPr>
                      </w:pPr>
                      <w:r>
                        <w:rPr>
                          <w:rFonts w:eastAsia="Times New Roman"/>
                          <w:sz w:val="20"/>
                          <w:szCs w:val="20"/>
                        </w:rPr>
                        <w:t xml:space="preserve">Establish and test billing codes and processes. </w:t>
                      </w:r>
                    </w:p>
                    <w:p w14:paraId="555FA28E" w14:textId="02442E0F"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Assure billing codes are in place and that staff in all necessary</w:t>
                      </w:r>
                      <w:r w:rsidR="0036481B">
                        <w:rPr>
                          <w:color w:val="000000"/>
                          <w:kern w:val="24"/>
                          <w:sz w:val="20"/>
                          <w:szCs w:val="20"/>
                        </w:rPr>
                        <w:t xml:space="preserve"> </w:t>
                      </w:r>
                      <w:r>
                        <w:rPr>
                          <w:color w:val="000000"/>
                          <w:kern w:val="24"/>
                          <w:sz w:val="20"/>
                          <w:szCs w:val="20"/>
                        </w:rPr>
                        <w:t>departments are educated on correct billing procedures.</w:t>
                      </w:r>
                    </w:p>
                    <w:p w14:paraId="50EC0EE8" w14:textId="77777777" w:rsidR="00DF4CD8" w:rsidRPr="006C7A23" w:rsidRDefault="00DF4CD8" w:rsidP="00B515BB">
                      <w:pPr>
                        <w:numPr>
                          <w:ilvl w:val="0"/>
                          <w:numId w:val="4"/>
                        </w:numPr>
                        <w:tabs>
                          <w:tab w:val="left" w:pos="180"/>
                        </w:tabs>
                        <w:contextualSpacing/>
                        <w:rPr>
                          <w:rFonts w:eastAsia="Times New Roman"/>
                          <w:sz w:val="20"/>
                          <w:szCs w:val="20"/>
                        </w:rPr>
                      </w:pPr>
                      <w:r>
                        <w:rPr>
                          <w:color w:val="000000"/>
                          <w:kern w:val="24"/>
                          <w:sz w:val="20"/>
                          <w:szCs w:val="20"/>
                        </w:rPr>
                        <w:t>Have protocols in place for billing in/out of network, public/private insurance.</w:t>
                      </w:r>
                    </w:p>
                    <w:p w14:paraId="0B04B4A6"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Establish clear regular communication channels and processes, assuring that all departments are represented, and multidisciplinary support among appropriate departments.</w:t>
                      </w:r>
                    </w:p>
                    <w:p w14:paraId="4E92FA07" w14:textId="77777777" w:rsidR="00DF4CD8" w:rsidRPr="00507298" w:rsidRDefault="00DF4CD8" w:rsidP="00B515BB">
                      <w:pPr>
                        <w:numPr>
                          <w:ilvl w:val="0"/>
                          <w:numId w:val="4"/>
                        </w:numPr>
                        <w:tabs>
                          <w:tab w:val="left" w:pos="180"/>
                        </w:tabs>
                        <w:contextualSpacing/>
                        <w:rPr>
                          <w:rFonts w:eastAsia="Times New Roman"/>
                          <w:sz w:val="20"/>
                          <w:szCs w:val="20"/>
                        </w:rPr>
                      </w:pPr>
                      <w:r>
                        <w:rPr>
                          <w:color w:val="000000"/>
                          <w:kern w:val="24"/>
                          <w:sz w:val="20"/>
                          <w:szCs w:val="20"/>
                        </w:rPr>
                        <w:t>Participate in hands-on training of IPLARC insertion.</w:t>
                      </w:r>
                    </w:p>
                    <w:p w14:paraId="778EC172" w14:textId="77777777" w:rsidR="00DF4CD8" w:rsidRPr="00F51F8E" w:rsidRDefault="00DF4CD8" w:rsidP="00B515BB">
                      <w:pPr>
                        <w:numPr>
                          <w:ilvl w:val="0"/>
                          <w:numId w:val="4"/>
                        </w:numPr>
                        <w:tabs>
                          <w:tab w:val="left" w:pos="180"/>
                        </w:tabs>
                        <w:contextualSpacing/>
                        <w:rPr>
                          <w:rFonts w:eastAsia="Times New Roman"/>
                          <w:sz w:val="20"/>
                          <w:szCs w:val="20"/>
                        </w:rPr>
                      </w:pPr>
                      <w:r>
                        <w:rPr>
                          <w:color w:val="000000"/>
                          <w:kern w:val="24"/>
                          <w:sz w:val="20"/>
                          <w:szCs w:val="20"/>
                        </w:rPr>
                        <w:t xml:space="preserve">Establish consent processes for IPLARC that allows for transfer of consent from prenatal clinic as well as obtaining inpatient consent. </w:t>
                      </w:r>
                    </w:p>
                  </w:txbxContent>
                </v:textbox>
              </v:rect>
            </w:pict>
          </mc:Fallback>
        </mc:AlternateContent>
      </w:r>
    </w:p>
    <w:p w14:paraId="7779BE45" w14:textId="11DFE1CF" w:rsidR="00DF4CD8" w:rsidRDefault="00DF4CD8" w:rsidP="00694E6F">
      <w:pPr>
        <w:rPr>
          <w:b/>
          <w:bCs/>
        </w:rPr>
      </w:pPr>
    </w:p>
    <w:p w14:paraId="699B1045" w14:textId="35FE1040" w:rsidR="00DF4CD8" w:rsidRDefault="00DF4CD8" w:rsidP="00694E6F">
      <w:pPr>
        <w:rPr>
          <w:b/>
          <w:bCs/>
        </w:rPr>
      </w:pPr>
      <w:r w:rsidRPr="00DF4CD8">
        <w:rPr>
          <w:b/>
          <w:bCs/>
          <w:noProof/>
        </w:rPr>
        <mc:AlternateContent>
          <mc:Choice Requires="wps">
            <w:drawing>
              <wp:anchor distT="0" distB="0" distL="114300" distR="114300" simplePos="0" relativeHeight="251671552" behindDoc="0" locked="0" layoutInCell="1" allowOverlap="1" wp14:anchorId="4BC40635" wp14:editId="02F07DBE">
                <wp:simplePos x="0" y="0"/>
                <wp:positionH relativeFrom="column">
                  <wp:posOffset>1677725</wp:posOffset>
                </wp:positionH>
                <wp:positionV relativeFrom="paragraph">
                  <wp:posOffset>234840</wp:posOffset>
                </wp:positionV>
                <wp:extent cx="2276475" cy="882153"/>
                <wp:effectExtent l="0" t="0" r="28575" b="13335"/>
                <wp:wrapNone/>
                <wp:docPr id="22" name="Rectangle 9"/>
                <wp:cNvGraphicFramePr/>
                <a:graphic xmlns:a="http://schemas.openxmlformats.org/drawingml/2006/main">
                  <a:graphicData uri="http://schemas.microsoft.com/office/word/2010/wordprocessingShape">
                    <wps:wsp>
                      <wps:cNvSpPr/>
                      <wps:spPr>
                        <a:xfrm>
                          <a:off x="0" y="0"/>
                          <a:ext cx="2276475" cy="882153"/>
                        </a:xfrm>
                        <a:prstGeom prst="rect">
                          <a:avLst/>
                        </a:prstGeom>
                        <a:solidFill>
                          <a:srgbClr val="1B75BC"/>
                        </a:solidFill>
                        <a:ln w="12700" cap="flat" cmpd="sng" algn="ctr">
                          <a:solidFill>
                            <a:schemeClr val="tx1"/>
                          </a:solidFill>
                          <a:prstDash val="solid"/>
                        </a:ln>
                        <a:effectLst/>
                      </wps:spPr>
                      <wps:txbx>
                        <w:txbxContent>
                          <w:p w14:paraId="4C228F9D"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 xml:space="preserve">Labor and delivery, OB OR, and postpartum units are </w:t>
                            </w:r>
                            <w:r>
                              <w:rPr>
                                <w:rFonts w:hAnsi="Calibri"/>
                                <w:bCs/>
                                <w:color w:val="FFFFFF" w:themeColor="background1"/>
                                <w:kern w:val="24"/>
                              </w:rPr>
                              <w:t xml:space="preserve">trained and </w:t>
                            </w:r>
                            <w:r w:rsidRPr="00C267DA">
                              <w:rPr>
                                <w:rFonts w:hAnsi="Calibri"/>
                                <w:bCs/>
                                <w:color w:val="FFFFFF" w:themeColor="background1"/>
                                <w:kern w:val="24"/>
                              </w:rPr>
                              <w:t xml:space="preserve">equipped to offer and perform </w:t>
                            </w:r>
                            <w:r>
                              <w:rPr>
                                <w:rFonts w:hAnsi="Calibri"/>
                                <w:bCs/>
                                <w:color w:val="FFFFFF" w:themeColor="background1"/>
                                <w:kern w:val="24"/>
                              </w:rPr>
                              <w:t>IP</w:t>
                            </w:r>
                            <w:r w:rsidRPr="00C267DA">
                              <w:rPr>
                                <w:rFonts w:hAnsi="Calibri"/>
                                <w:bCs/>
                                <w:color w:val="FFFFFF" w:themeColor="background1"/>
                                <w:kern w:val="24"/>
                              </w:rPr>
                              <w:t>LARC insertion</w:t>
                            </w:r>
                          </w:p>
                          <w:p w14:paraId="64EC53DF" w14:textId="77777777" w:rsidR="00DF4CD8" w:rsidRPr="00C267DA" w:rsidRDefault="00DF4CD8" w:rsidP="00DF4CD8">
                            <w:pPr>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C40635" id="_x0000_s1036" style="position:absolute;margin-left:132.1pt;margin-top:18.5pt;width:179.2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" fillcolor="#1b75bc" strokecolor="black [3213]" strokeweight="1pt">
                <v:textbox>
                  <w:txbxContent>
                    <w:p w14:paraId="4C228F9D" w14:textId="77777777" w:rsidR="00DF4CD8" w:rsidRPr="00C267DA" w:rsidRDefault="00DF4CD8" w:rsidP="00DF4CD8">
                      <w:pPr>
                        <w:shd w:val="clear" w:color="auto" w:fill="0070C0"/>
                        <w:spacing w:after="0"/>
                        <w:jc w:val="center"/>
                        <w:rPr>
                          <w:rFonts w:hAnsi="Calibri"/>
                          <w:bCs/>
                          <w:color w:val="FFFFFF" w:themeColor="background1"/>
                          <w:kern w:val="24"/>
                        </w:rPr>
                      </w:pPr>
                      <w:r w:rsidRPr="00C267DA">
                        <w:rPr>
                          <w:rFonts w:hAnsi="Calibri"/>
                          <w:bCs/>
                          <w:color w:val="FFFFFF" w:themeColor="background1"/>
                          <w:kern w:val="24"/>
                        </w:rPr>
                        <w:t xml:space="preserve">Labor and delivery, OB OR, and postpartum units are </w:t>
                      </w:r>
                      <w:r>
                        <w:rPr>
                          <w:rFonts w:hAnsi="Calibri"/>
                          <w:bCs/>
                          <w:color w:val="FFFFFF" w:themeColor="background1"/>
                          <w:kern w:val="24"/>
                        </w:rPr>
                        <w:t xml:space="preserve">trained and </w:t>
                      </w:r>
                      <w:r w:rsidRPr="00C267DA">
                        <w:rPr>
                          <w:rFonts w:hAnsi="Calibri"/>
                          <w:bCs/>
                          <w:color w:val="FFFFFF" w:themeColor="background1"/>
                          <w:kern w:val="24"/>
                        </w:rPr>
                        <w:t xml:space="preserve">equipped to offer and perform </w:t>
                      </w:r>
                      <w:r>
                        <w:rPr>
                          <w:rFonts w:hAnsi="Calibri"/>
                          <w:bCs/>
                          <w:color w:val="FFFFFF" w:themeColor="background1"/>
                          <w:kern w:val="24"/>
                        </w:rPr>
                        <w:t>IP</w:t>
                      </w:r>
                      <w:r w:rsidRPr="00C267DA">
                        <w:rPr>
                          <w:rFonts w:hAnsi="Calibri"/>
                          <w:bCs/>
                          <w:color w:val="FFFFFF" w:themeColor="background1"/>
                          <w:kern w:val="24"/>
                        </w:rPr>
                        <w:t>LARC insertion</w:t>
                      </w:r>
                    </w:p>
                    <w:p w14:paraId="64EC53DF" w14:textId="77777777" w:rsidR="00DF4CD8" w:rsidRPr="00C267DA" w:rsidRDefault="00DF4CD8" w:rsidP="00DF4CD8">
                      <w:pPr>
                        <w:spacing w:after="0"/>
                        <w:jc w:val="center"/>
                        <w:rPr>
                          <w:rFonts w:hAnsi="Calibri"/>
                          <w:bCs/>
                          <w:color w:val="FFFFFF" w:themeColor="background1"/>
                          <w:kern w:val="24"/>
                        </w:rPr>
                      </w:pPr>
                    </w:p>
                  </w:txbxContent>
                </v:textbox>
              </v:rect>
            </w:pict>
          </mc:Fallback>
        </mc:AlternateContent>
      </w:r>
    </w:p>
    <w:p w14:paraId="72A5890B" w14:textId="77777777" w:rsidR="00DF4CD8" w:rsidRDefault="00DF4CD8" w:rsidP="00694E6F">
      <w:pPr>
        <w:rPr>
          <w:b/>
          <w:bCs/>
        </w:rPr>
      </w:pPr>
    </w:p>
    <w:p w14:paraId="24936AF3" w14:textId="77777777" w:rsidR="00DF4CD8" w:rsidRDefault="00DF4CD8" w:rsidP="00694E6F">
      <w:pPr>
        <w:rPr>
          <w:b/>
          <w:bCs/>
        </w:rPr>
      </w:pPr>
    </w:p>
    <w:p w14:paraId="6A22ECA3" w14:textId="47164683" w:rsidR="00EE3E8D" w:rsidRPr="00694E6F" w:rsidRDefault="00694E6F" w:rsidP="00694E6F">
      <w:pPr>
        <w:rPr>
          <w:b/>
          <w:bCs/>
        </w:rPr>
      </w:pPr>
      <w:r w:rsidRPr="0013021B">
        <w:rPr>
          <w:b/>
          <w:noProof/>
        </w:rPr>
        <mc:AlternateContent>
          <mc:Choice Requires="wps">
            <w:drawing>
              <wp:anchor distT="0" distB="0" distL="114300" distR="114300" simplePos="0" relativeHeight="251645952" behindDoc="0" locked="0" layoutInCell="1" allowOverlap="1" wp14:anchorId="77F892C5" wp14:editId="0FDBBCF2">
                <wp:simplePos x="0" y="0"/>
                <wp:positionH relativeFrom="column">
                  <wp:posOffset>-243840</wp:posOffset>
                </wp:positionH>
                <wp:positionV relativeFrom="paragraph">
                  <wp:posOffset>-217421</wp:posOffset>
                </wp:positionV>
                <wp:extent cx="819150" cy="461645"/>
                <wp:effectExtent l="0" t="0" r="0" b="0"/>
                <wp:wrapNone/>
                <wp:docPr id="23"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7ABE3A2A" w14:textId="351776CC" w:rsidR="00845081" w:rsidRPr="00FF4F21" w:rsidRDefault="00845081" w:rsidP="00D26BAD">
                            <w:pPr>
                              <w:pStyle w:val="NormalWeb"/>
                              <w:spacing w:before="0" w:beforeAutospacing="0" w:after="0" w:afterAutospacing="0"/>
                              <w:rPr>
                                <w:sz w:val="40"/>
                                <w:szCs w:val="40"/>
                                <w:u w:val="single"/>
                              </w:rPr>
                            </w:pPr>
                          </w:p>
                        </w:txbxContent>
                      </wps:txbx>
                      <wps:bodyPr wrap="square" rtlCol="0">
                        <a:spAutoFit/>
                      </wps:bodyPr>
                    </wps:wsp>
                  </a:graphicData>
                </a:graphic>
                <wp14:sizeRelH relativeFrom="margin">
                  <wp14:pctWidth>0</wp14:pctWidth>
                </wp14:sizeRelH>
              </wp:anchor>
            </w:drawing>
          </mc:Choice>
          <mc:Fallback>
            <w:pict>
              <v:shape w14:anchorId="77F892C5" id="_x0000_s1037" type="#_x0000_t202" style="position:absolute;margin-left:-19.2pt;margin-top:-17.1pt;width:64.5pt;height:36.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" filled="f" stroked="f">
                <v:textbox style="mso-fit-shape-to-text:t">
                  <w:txbxContent>
                    <w:p w14:paraId="7ABE3A2A" w14:textId="351776CC" w:rsidR="00845081" w:rsidRPr="00FF4F21" w:rsidRDefault="00845081" w:rsidP="00D26BAD">
                      <w:pPr>
                        <w:pStyle w:val="NormalWeb"/>
                        <w:spacing w:before="0" w:beforeAutospacing="0" w:after="0" w:afterAutospacing="0"/>
                        <w:rPr>
                          <w:sz w:val="40"/>
                          <w:szCs w:val="40"/>
                          <w:u w:val="single"/>
                        </w:rPr>
                      </w:pPr>
                    </w:p>
                  </w:txbxContent>
                </v:textbox>
              </v:shape>
            </w:pict>
          </mc:Fallback>
        </mc:AlternateContent>
      </w:r>
    </w:p>
    <w:bookmarkStart w:id="0" w:name="_Toc12426702"/>
    <w:p w14:paraId="7DD195F8" w14:textId="7049B172" w:rsidR="00CB2E7F" w:rsidRDefault="00DF4CD8" w:rsidP="00CB2E7F">
      <w:pPr>
        <w:pStyle w:val="Heading2"/>
      </w:pPr>
      <w:r w:rsidRPr="00DF4CD8">
        <w:rPr>
          <w:noProof/>
        </w:rPr>
        <mc:AlternateContent>
          <mc:Choice Requires="wps">
            <w:drawing>
              <wp:anchor distT="0" distB="0" distL="114300" distR="114300" simplePos="0" relativeHeight="251665408" behindDoc="0" locked="0" layoutInCell="1" allowOverlap="1" wp14:anchorId="3C4CAE7F" wp14:editId="61B1EB13">
                <wp:simplePos x="0" y="0"/>
                <wp:positionH relativeFrom="column">
                  <wp:posOffset>1669774</wp:posOffset>
                </wp:positionH>
                <wp:positionV relativeFrom="paragraph">
                  <wp:posOffset>8088</wp:posOffset>
                </wp:positionV>
                <wp:extent cx="2274570" cy="906449"/>
                <wp:effectExtent l="0" t="0" r="11430" b="27305"/>
                <wp:wrapNone/>
                <wp:docPr id="14341" name="Rectangle 9"/>
                <wp:cNvGraphicFramePr/>
                <a:graphic xmlns:a="http://schemas.openxmlformats.org/drawingml/2006/main">
                  <a:graphicData uri="http://schemas.microsoft.com/office/word/2010/wordprocessingShape">
                    <wps:wsp>
                      <wps:cNvSpPr/>
                      <wps:spPr>
                        <a:xfrm>
                          <a:off x="0" y="0"/>
                          <a:ext cx="2274570" cy="906449"/>
                        </a:xfrm>
                        <a:prstGeom prst="rect">
                          <a:avLst/>
                        </a:prstGeom>
                        <a:solidFill>
                          <a:srgbClr val="1B75B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0C77A"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 xml:space="preserve">Patients are </w:t>
                            </w:r>
                            <w:r>
                              <w:rPr>
                                <w:rFonts w:hAnsi="Calibri"/>
                                <w:bCs/>
                                <w:color w:val="FFFFFF" w:themeColor="background1"/>
                                <w:kern w:val="24"/>
                              </w:rPr>
                              <w:t xml:space="preserve">educated and </w:t>
                            </w:r>
                            <w:r w:rsidRPr="00C267DA">
                              <w:rPr>
                                <w:rFonts w:hAnsi="Calibri"/>
                                <w:bCs/>
                                <w:color w:val="FFFFFF" w:themeColor="background1"/>
                                <w:kern w:val="24"/>
                              </w:rPr>
                              <w:t>aware of IPLARC as a contraceptive option</w:t>
                            </w:r>
                            <w:r>
                              <w:rPr>
                                <w:rFonts w:hAnsi="Calibri"/>
                                <w:bCs/>
                                <w:color w:val="FFFFFF" w:themeColor="background1"/>
                                <w:kern w:val="24"/>
                              </w:rPr>
                              <w:t>, including its benefits and effectiveness</w:t>
                            </w:r>
                          </w:p>
                          <w:p w14:paraId="13013125" w14:textId="77777777" w:rsidR="00DF4CD8" w:rsidRPr="00C267DA" w:rsidRDefault="00DF4CD8" w:rsidP="00DF4CD8">
                            <w:pPr>
                              <w:spacing w:after="0"/>
                              <w:jc w:val="center"/>
                              <w:rPr>
                                <w:rFonts w:hAnsi="Calibri"/>
                                <w:bCs/>
                                <w:color w:val="FFFFFF" w:themeColor="background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4CAE7F" id="_x0000_s1038" style="position:absolute;margin-left:131.5pt;margin-top:.65pt;width:179.1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" fillcolor="#1b75bc" strokecolor="black [3213]" strokeweight="1pt">
                <v:textbox>
                  <w:txbxContent>
                    <w:p w14:paraId="0150C77A" w14:textId="77777777" w:rsidR="00DF4CD8" w:rsidRPr="00C267DA" w:rsidRDefault="00DF4CD8" w:rsidP="00DF4CD8">
                      <w:pPr>
                        <w:spacing w:after="0"/>
                        <w:jc w:val="center"/>
                        <w:rPr>
                          <w:rFonts w:hAnsi="Calibri"/>
                          <w:bCs/>
                          <w:color w:val="FFFFFF" w:themeColor="background1"/>
                          <w:kern w:val="24"/>
                        </w:rPr>
                      </w:pPr>
                      <w:r w:rsidRPr="00C267DA">
                        <w:rPr>
                          <w:rFonts w:hAnsi="Calibri"/>
                          <w:bCs/>
                          <w:color w:val="FFFFFF" w:themeColor="background1"/>
                          <w:kern w:val="24"/>
                        </w:rPr>
                        <w:t xml:space="preserve">Patients are </w:t>
                      </w:r>
                      <w:r>
                        <w:rPr>
                          <w:rFonts w:hAnsi="Calibri"/>
                          <w:bCs/>
                          <w:color w:val="FFFFFF" w:themeColor="background1"/>
                          <w:kern w:val="24"/>
                        </w:rPr>
                        <w:t xml:space="preserve">educated and </w:t>
                      </w:r>
                      <w:r w:rsidRPr="00C267DA">
                        <w:rPr>
                          <w:rFonts w:hAnsi="Calibri"/>
                          <w:bCs/>
                          <w:color w:val="FFFFFF" w:themeColor="background1"/>
                          <w:kern w:val="24"/>
                        </w:rPr>
                        <w:t>aware of IPLARC as a contraceptive option</w:t>
                      </w:r>
                      <w:r>
                        <w:rPr>
                          <w:rFonts w:hAnsi="Calibri"/>
                          <w:bCs/>
                          <w:color w:val="FFFFFF" w:themeColor="background1"/>
                          <w:kern w:val="24"/>
                        </w:rPr>
                        <w:t>, including its benefits and effectiveness</w:t>
                      </w:r>
                    </w:p>
                    <w:p w14:paraId="13013125" w14:textId="77777777" w:rsidR="00DF4CD8" w:rsidRPr="00C267DA" w:rsidRDefault="00DF4CD8" w:rsidP="00DF4CD8">
                      <w:pPr>
                        <w:spacing w:after="0"/>
                        <w:jc w:val="center"/>
                        <w:rPr>
                          <w:rFonts w:hAnsi="Calibri"/>
                          <w:bCs/>
                          <w:color w:val="FFFFFF" w:themeColor="background1"/>
                          <w:kern w:val="24"/>
                        </w:rPr>
                      </w:pPr>
                    </w:p>
                  </w:txbxContent>
                </v:textbox>
              </v:rect>
            </w:pict>
          </mc:Fallback>
        </mc:AlternateContent>
      </w:r>
      <w:r w:rsidR="00BE437C">
        <w:t>IPLARC Metrics</w:t>
      </w:r>
      <w:r w:rsidR="00CB2E7F">
        <w:t xml:space="preserve"> </w:t>
      </w:r>
      <w:bookmarkEnd w:id="0"/>
    </w:p>
    <w:p w14:paraId="33CA1330" w14:textId="45CEB498" w:rsidR="00DF4CD8" w:rsidRDefault="0036481B" w:rsidP="00DF4CD8">
      <w:r w:rsidRPr="00DF4CD8">
        <w:rPr>
          <w:b/>
          <w:bCs/>
          <w:noProof/>
        </w:rPr>
        <mc:AlternateContent>
          <mc:Choice Requires="wps">
            <w:drawing>
              <wp:anchor distT="0" distB="0" distL="114300" distR="114300" simplePos="0" relativeHeight="251662336" behindDoc="0" locked="0" layoutInCell="1" allowOverlap="1" wp14:anchorId="5A84A136" wp14:editId="18EEE74F">
                <wp:simplePos x="0" y="0"/>
                <wp:positionH relativeFrom="column">
                  <wp:posOffset>4169391</wp:posOffset>
                </wp:positionH>
                <wp:positionV relativeFrom="paragraph">
                  <wp:posOffset>37569</wp:posOffset>
                </wp:positionV>
                <wp:extent cx="4527550" cy="2122227"/>
                <wp:effectExtent l="0" t="0" r="25400" b="11430"/>
                <wp:wrapNone/>
                <wp:docPr id="14343" name="Rectangle 18"/>
                <wp:cNvGraphicFramePr/>
                <a:graphic xmlns:a="http://schemas.openxmlformats.org/drawingml/2006/main">
                  <a:graphicData uri="http://schemas.microsoft.com/office/word/2010/wordprocessingShape">
                    <wps:wsp>
                      <wps:cNvSpPr/>
                      <wps:spPr>
                        <a:xfrm>
                          <a:off x="0" y="0"/>
                          <a:ext cx="4527550" cy="2122227"/>
                        </a:xfrm>
                        <a:prstGeom prst="rect">
                          <a:avLst/>
                        </a:prstGeom>
                        <a:solidFill>
                          <a:sysClr val="window" lastClr="FFFFFF"/>
                        </a:solidFill>
                        <a:ln w="12700" cap="flat" cmpd="sng" algn="ctr">
                          <a:solidFill>
                            <a:sysClr val="windowText" lastClr="000000"/>
                          </a:solidFill>
                          <a:prstDash val="solid"/>
                        </a:ln>
                        <a:effectLst/>
                      </wps:spPr>
                      <wps:txbx>
                        <w:txbxContent>
                          <w:p w14:paraId="46C7A1E9" w14:textId="77777777" w:rsidR="00DF4CD8" w:rsidRPr="00DF7042"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Educate providers, nurses, lactation consultants, social workers about clinical recommendations related to IPLARC placement and breastfeeding.</w:t>
                            </w:r>
                          </w:p>
                          <w:p w14:paraId="739B49A6"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 xml:space="preserve">Educate clinicians, community partners and nurses on informed consent and shared decision making. </w:t>
                            </w:r>
                          </w:p>
                          <w:p w14:paraId="276555A0"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Connect with providers and staff at prenatal care sites to ensure they are aware the hospital is providing IPLARC and that education materials are available.</w:t>
                            </w:r>
                          </w:p>
                          <w:p w14:paraId="75929963" w14:textId="77777777" w:rsidR="00DF4CD8" w:rsidRPr="00736654"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Distribute patient education materials that are culturally sensitive and use shared decision making to counsel patients about IPLARC.</w:t>
                            </w:r>
                          </w:p>
                          <w:p w14:paraId="141368FF" w14:textId="77777777" w:rsidR="00DF4CD8" w:rsidRPr="00736654" w:rsidRDefault="00DF4CD8" w:rsidP="00B515BB">
                            <w:pPr>
                              <w:numPr>
                                <w:ilvl w:val="0"/>
                                <w:numId w:val="2"/>
                              </w:numPr>
                              <w:tabs>
                                <w:tab w:val="num" w:pos="180"/>
                              </w:tabs>
                              <w:ind w:left="180" w:hanging="180"/>
                              <w:contextualSpacing/>
                              <w:rPr>
                                <w:rFonts w:eastAsia="Times New Roman"/>
                                <w:b/>
                                <w:sz w:val="20"/>
                                <w:szCs w:val="20"/>
                              </w:rPr>
                            </w:pPr>
                            <w:r>
                              <w:rPr>
                                <w:color w:val="000000"/>
                                <w:kern w:val="24"/>
                                <w:sz w:val="20"/>
                                <w:szCs w:val="20"/>
                              </w:rPr>
                              <w:t xml:space="preserve">Assure patient receives comprehensive contraceptive counseling </w:t>
                            </w:r>
                            <w:r w:rsidRPr="00112E6A">
                              <w:rPr>
                                <w:color w:val="000000"/>
                                <w:kern w:val="24"/>
                                <w:sz w:val="20"/>
                                <w:szCs w:val="20"/>
                              </w:rPr>
                              <w:t>prenatally.</w:t>
                            </w:r>
                          </w:p>
                          <w:p w14:paraId="47AFC631" w14:textId="77777777" w:rsidR="00DF4CD8" w:rsidRPr="00F51F8E" w:rsidRDefault="00DF4CD8" w:rsidP="00B515BB">
                            <w:pPr>
                              <w:numPr>
                                <w:ilvl w:val="0"/>
                                <w:numId w:val="2"/>
                              </w:numPr>
                              <w:tabs>
                                <w:tab w:val="num" w:pos="180"/>
                              </w:tabs>
                              <w:ind w:left="180" w:hanging="180"/>
                              <w:contextualSpacing/>
                              <w:rPr>
                                <w:rFonts w:eastAsia="Times New Roman"/>
                                <w:sz w:val="20"/>
                                <w:szCs w:val="20"/>
                              </w:rPr>
                            </w:pPr>
                            <w:r>
                              <w:rPr>
                                <w:rFonts w:eastAsia="Times New Roman"/>
                                <w:sz w:val="20"/>
                                <w:szCs w:val="20"/>
                              </w:rPr>
                              <w:t>A</w:t>
                            </w:r>
                            <w:r>
                              <w:rPr>
                                <w:color w:val="000000"/>
                                <w:kern w:val="24"/>
                                <w:sz w:val="20"/>
                                <w:szCs w:val="20"/>
                              </w:rPr>
                              <w:t>ssure patient receives comprehensive contraceptive counseling prior to discharge.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84A136" id="Rectangle 18" o:spid="_x0000_s1039" style="position:absolute;margin-left:328.3pt;margin-top:2.95pt;width:356.5pt;height:1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" fillcolor="window" strokecolor="windowText" strokeweight="1pt">
                <v:textbox>
                  <w:txbxContent>
                    <w:p w14:paraId="46C7A1E9" w14:textId="77777777" w:rsidR="00DF4CD8" w:rsidRPr="00DF7042"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Educate providers, nurses, lactation consultants, social workers about clinical recommendations related to IPLARC placement and breastfeeding.</w:t>
                      </w:r>
                    </w:p>
                    <w:p w14:paraId="739B49A6"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 xml:space="preserve">Educate clinicians, community partners and nurses on informed consent and shared decision making. </w:t>
                      </w:r>
                    </w:p>
                    <w:p w14:paraId="276555A0" w14:textId="77777777" w:rsidR="00DF4CD8" w:rsidRPr="007A3776"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Connect with providers and staff at prenatal care sites to ensure they are aware the hospital is providing IPLARC and that education materials are available.</w:t>
                      </w:r>
                    </w:p>
                    <w:p w14:paraId="75929963" w14:textId="77777777" w:rsidR="00DF4CD8" w:rsidRPr="00736654" w:rsidRDefault="00DF4CD8" w:rsidP="00B515BB">
                      <w:pPr>
                        <w:numPr>
                          <w:ilvl w:val="0"/>
                          <w:numId w:val="2"/>
                        </w:numPr>
                        <w:tabs>
                          <w:tab w:val="num" w:pos="180"/>
                        </w:tabs>
                        <w:ind w:left="180" w:hanging="180"/>
                        <w:contextualSpacing/>
                        <w:rPr>
                          <w:rFonts w:eastAsia="Times New Roman"/>
                          <w:sz w:val="20"/>
                          <w:szCs w:val="20"/>
                        </w:rPr>
                      </w:pPr>
                      <w:r>
                        <w:rPr>
                          <w:color w:val="000000"/>
                          <w:kern w:val="24"/>
                          <w:sz w:val="20"/>
                          <w:szCs w:val="20"/>
                        </w:rPr>
                        <w:t>Distribute patient education materials that are culturally sensitive and use shared decision making to counsel patients about IPLARC.</w:t>
                      </w:r>
                    </w:p>
                    <w:p w14:paraId="141368FF" w14:textId="77777777" w:rsidR="00DF4CD8" w:rsidRPr="00736654" w:rsidRDefault="00DF4CD8" w:rsidP="00B515BB">
                      <w:pPr>
                        <w:numPr>
                          <w:ilvl w:val="0"/>
                          <w:numId w:val="2"/>
                        </w:numPr>
                        <w:tabs>
                          <w:tab w:val="num" w:pos="180"/>
                        </w:tabs>
                        <w:ind w:left="180" w:hanging="180"/>
                        <w:contextualSpacing/>
                        <w:rPr>
                          <w:rFonts w:eastAsia="Times New Roman"/>
                          <w:b/>
                          <w:sz w:val="20"/>
                          <w:szCs w:val="20"/>
                        </w:rPr>
                      </w:pPr>
                      <w:r>
                        <w:rPr>
                          <w:color w:val="000000"/>
                          <w:kern w:val="24"/>
                          <w:sz w:val="20"/>
                          <w:szCs w:val="20"/>
                        </w:rPr>
                        <w:t xml:space="preserve">Assure patient receives comprehensive contraceptive counseling </w:t>
                      </w:r>
                      <w:r w:rsidRPr="00112E6A">
                        <w:rPr>
                          <w:color w:val="000000"/>
                          <w:kern w:val="24"/>
                          <w:sz w:val="20"/>
                          <w:szCs w:val="20"/>
                        </w:rPr>
                        <w:t>prenatally.</w:t>
                      </w:r>
                    </w:p>
                    <w:p w14:paraId="47AFC631" w14:textId="77777777" w:rsidR="00DF4CD8" w:rsidRPr="00F51F8E" w:rsidRDefault="00DF4CD8" w:rsidP="00B515BB">
                      <w:pPr>
                        <w:numPr>
                          <w:ilvl w:val="0"/>
                          <w:numId w:val="2"/>
                        </w:numPr>
                        <w:tabs>
                          <w:tab w:val="num" w:pos="180"/>
                        </w:tabs>
                        <w:ind w:left="180" w:hanging="180"/>
                        <w:contextualSpacing/>
                        <w:rPr>
                          <w:rFonts w:eastAsia="Times New Roman"/>
                          <w:sz w:val="20"/>
                          <w:szCs w:val="20"/>
                        </w:rPr>
                      </w:pPr>
                      <w:r>
                        <w:rPr>
                          <w:rFonts w:eastAsia="Times New Roman"/>
                          <w:sz w:val="20"/>
                          <w:szCs w:val="20"/>
                        </w:rPr>
                        <w:t>A</w:t>
                      </w:r>
                      <w:r>
                        <w:rPr>
                          <w:color w:val="000000"/>
                          <w:kern w:val="24"/>
                          <w:sz w:val="20"/>
                          <w:szCs w:val="20"/>
                        </w:rPr>
                        <w:t>ssure patient receives comprehensive contraceptive counseling prior to discharge.</w:t>
                      </w:r>
                    </w:p>
                  </w:txbxContent>
                </v:textbox>
              </v:rect>
            </w:pict>
          </mc:Fallback>
        </mc:AlternateContent>
      </w:r>
    </w:p>
    <w:p w14:paraId="0C5052C6" w14:textId="79CE4C41" w:rsidR="00DF4CD8" w:rsidRDefault="00DF4CD8" w:rsidP="00DF4CD8"/>
    <w:p w14:paraId="7A50419C" w14:textId="40E3EEC0" w:rsidR="00DF4CD8" w:rsidRDefault="00DF4CD8" w:rsidP="00DF4CD8"/>
    <w:p w14:paraId="034B0B2E" w14:textId="54D8CC53" w:rsidR="00DF4CD8" w:rsidRDefault="00DF4CD8" w:rsidP="00DF4CD8"/>
    <w:p w14:paraId="1C236F0F" w14:textId="0B61E931" w:rsidR="00DF4CD8" w:rsidRDefault="00DF4CD8" w:rsidP="00DF4CD8"/>
    <w:p w14:paraId="463BBFC9" w14:textId="35F6BEDC" w:rsidR="00DF4CD8" w:rsidRDefault="00DF4CD8" w:rsidP="00DF4CD8"/>
    <w:p w14:paraId="0F773A4E" w14:textId="785B5327" w:rsidR="00306B55" w:rsidRPr="00DF4CD8" w:rsidRDefault="00306B55" w:rsidP="00DF4CD8"/>
    <w:tbl>
      <w:tblPr>
        <w:tblStyle w:val="TableGrid"/>
        <w:tblW w:w="12955"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795"/>
        <w:gridCol w:w="1564"/>
        <w:gridCol w:w="1573"/>
        <w:gridCol w:w="1284"/>
        <w:gridCol w:w="6739"/>
      </w:tblGrid>
      <w:tr w:rsidR="005D597C" w:rsidRPr="00CC1089" w14:paraId="4619B221" w14:textId="77777777" w:rsidTr="00A87F64">
        <w:trPr>
          <w:tblHeader/>
        </w:trPr>
        <w:tc>
          <w:tcPr>
            <w:tcW w:w="1795" w:type="dxa"/>
            <w:shd w:val="clear" w:color="auto" w:fill="DBE5F1" w:themeFill="accent1" w:themeFillTint="33"/>
          </w:tcPr>
          <w:p w14:paraId="6C73460C" w14:textId="50E6BCF2" w:rsidR="005D597C" w:rsidRPr="00306B55" w:rsidRDefault="005D597C" w:rsidP="00471E2A">
            <w:pPr>
              <w:rPr>
                <w:b/>
                <w:bCs/>
              </w:rPr>
            </w:pPr>
            <w:r w:rsidRPr="00306B55">
              <w:rPr>
                <w:b/>
                <w:bCs/>
              </w:rPr>
              <w:lastRenderedPageBreak/>
              <w:t>Metric</w:t>
            </w:r>
          </w:p>
        </w:tc>
        <w:tc>
          <w:tcPr>
            <w:tcW w:w="1564" w:type="dxa"/>
            <w:shd w:val="clear" w:color="auto" w:fill="DBE5F1" w:themeFill="accent1" w:themeFillTint="33"/>
          </w:tcPr>
          <w:p w14:paraId="1D533D69" w14:textId="2ED7DA11" w:rsidR="005D597C" w:rsidRPr="00306B55" w:rsidRDefault="005D597C" w:rsidP="00B5128B">
            <w:pPr>
              <w:rPr>
                <w:b/>
                <w:bCs/>
              </w:rPr>
            </w:pPr>
            <w:r w:rsidRPr="00306B55">
              <w:rPr>
                <w:b/>
                <w:bCs/>
              </w:rPr>
              <w:t>Numerator (among the denominator)</w:t>
            </w:r>
          </w:p>
        </w:tc>
        <w:tc>
          <w:tcPr>
            <w:tcW w:w="1573" w:type="dxa"/>
            <w:shd w:val="clear" w:color="auto" w:fill="DBE5F1" w:themeFill="accent1" w:themeFillTint="33"/>
          </w:tcPr>
          <w:p w14:paraId="1D67B326" w14:textId="77777777" w:rsidR="005D597C" w:rsidRPr="00306B55" w:rsidRDefault="005D597C" w:rsidP="00471E2A">
            <w:pPr>
              <w:rPr>
                <w:b/>
                <w:bCs/>
              </w:rPr>
            </w:pPr>
            <w:r w:rsidRPr="00306B55">
              <w:rPr>
                <w:b/>
                <w:bCs/>
              </w:rPr>
              <w:t>Denominator</w:t>
            </w:r>
          </w:p>
        </w:tc>
        <w:tc>
          <w:tcPr>
            <w:tcW w:w="1284" w:type="dxa"/>
            <w:shd w:val="clear" w:color="auto" w:fill="DBE5F1" w:themeFill="accent1" w:themeFillTint="33"/>
          </w:tcPr>
          <w:p w14:paraId="2E506FA7" w14:textId="77777777" w:rsidR="005D597C" w:rsidRPr="00306B55" w:rsidRDefault="005D597C" w:rsidP="00471E2A">
            <w:pPr>
              <w:rPr>
                <w:b/>
                <w:bCs/>
              </w:rPr>
            </w:pPr>
            <w:r w:rsidRPr="00306B55">
              <w:rPr>
                <w:b/>
                <w:bCs/>
              </w:rPr>
              <w:t>Data Source</w:t>
            </w:r>
          </w:p>
        </w:tc>
        <w:tc>
          <w:tcPr>
            <w:tcW w:w="6739" w:type="dxa"/>
            <w:shd w:val="clear" w:color="auto" w:fill="DBE5F1" w:themeFill="accent1" w:themeFillTint="33"/>
          </w:tcPr>
          <w:p w14:paraId="5ED83202" w14:textId="2AF74BEA" w:rsidR="005D597C" w:rsidRPr="00306B55" w:rsidRDefault="005D597C" w:rsidP="00471E2A">
            <w:pPr>
              <w:rPr>
                <w:b/>
                <w:bCs/>
              </w:rPr>
            </w:pPr>
            <w:r w:rsidRPr="00306B55">
              <w:rPr>
                <w:b/>
                <w:bCs/>
              </w:rPr>
              <w:t>Guidance and FAQs</w:t>
            </w:r>
          </w:p>
        </w:tc>
      </w:tr>
      <w:tr w:rsidR="005D597C" w:rsidRPr="00FF543F" w14:paraId="52FDA655" w14:textId="77777777" w:rsidTr="00A87F64">
        <w:tc>
          <w:tcPr>
            <w:tcW w:w="1795" w:type="dxa"/>
          </w:tcPr>
          <w:p w14:paraId="3253A90B" w14:textId="4FE0E322" w:rsidR="005D597C" w:rsidRPr="00306B55" w:rsidRDefault="005D597C" w:rsidP="007A6517">
            <w:pPr>
              <w:tabs>
                <w:tab w:val="left" w:pos="1811"/>
              </w:tabs>
              <w:rPr>
                <w:b/>
                <w:bCs/>
              </w:rPr>
            </w:pPr>
            <w:r w:rsidRPr="00306B55">
              <w:rPr>
                <w:b/>
                <w:bCs/>
              </w:rPr>
              <w:t>Percentage of eligible individuals who received IPLARC</w:t>
            </w:r>
          </w:p>
          <w:p w14:paraId="1A44F274" w14:textId="77777777" w:rsidR="005D597C" w:rsidRPr="00306B55" w:rsidRDefault="005D597C" w:rsidP="007A6517">
            <w:pPr>
              <w:tabs>
                <w:tab w:val="left" w:pos="1811"/>
              </w:tabs>
              <w:rPr>
                <w:b/>
                <w:bCs/>
              </w:rPr>
            </w:pPr>
          </w:p>
          <w:p w14:paraId="13540B93" w14:textId="77777777" w:rsidR="005D597C" w:rsidRPr="00306B55" w:rsidRDefault="005D597C" w:rsidP="00D63B86">
            <w:pPr>
              <w:tabs>
                <w:tab w:val="left" w:pos="1811"/>
              </w:tabs>
              <w:rPr>
                <w:b/>
                <w:bCs/>
              </w:rPr>
            </w:pPr>
          </w:p>
          <w:p w14:paraId="1121068D" w14:textId="7713E28A" w:rsidR="005D597C" w:rsidRPr="00306B55" w:rsidRDefault="005D597C" w:rsidP="00D63B86">
            <w:pPr>
              <w:tabs>
                <w:tab w:val="left" w:pos="1811"/>
              </w:tabs>
              <w:rPr>
                <w:b/>
                <w:bCs/>
              </w:rPr>
            </w:pPr>
          </w:p>
        </w:tc>
        <w:tc>
          <w:tcPr>
            <w:tcW w:w="1564" w:type="dxa"/>
          </w:tcPr>
          <w:p w14:paraId="4BE08335" w14:textId="30B5E6FB" w:rsidR="005D597C" w:rsidRPr="00F755F6" w:rsidRDefault="005D597C" w:rsidP="00471E2A">
            <w:pPr>
              <w:rPr>
                <w:bCs/>
              </w:rPr>
            </w:pPr>
            <w:r w:rsidRPr="00BE437C">
              <w:rPr>
                <w:bCs/>
              </w:rPr>
              <w:t>Number of LARC devices placed prior to discharge</w:t>
            </w:r>
          </w:p>
        </w:tc>
        <w:tc>
          <w:tcPr>
            <w:tcW w:w="1573" w:type="dxa"/>
          </w:tcPr>
          <w:p w14:paraId="73BE03FF" w14:textId="723BABB1" w:rsidR="005D597C" w:rsidRPr="00F755F6" w:rsidRDefault="005D597C" w:rsidP="005D597C">
            <w:pPr>
              <w:rPr>
                <w:bCs/>
              </w:rPr>
            </w:pPr>
            <w:r>
              <w:rPr>
                <w:bCs/>
              </w:rPr>
              <w:t>Number of postpartum individuals (</w:t>
            </w:r>
            <w:r w:rsidRPr="00BE437C">
              <w:rPr>
                <w:bCs/>
              </w:rPr>
              <w:t>aged 15-44 years who had a live birth) who desired IPLARC placement</w:t>
            </w:r>
          </w:p>
        </w:tc>
        <w:tc>
          <w:tcPr>
            <w:tcW w:w="1284" w:type="dxa"/>
          </w:tcPr>
          <w:p w14:paraId="5BAC4E5D" w14:textId="51AF5714" w:rsidR="005D597C" w:rsidRPr="00F755F6" w:rsidRDefault="005D597C" w:rsidP="00471E2A">
            <w:pPr>
              <w:rPr>
                <w:bCs/>
              </w:rPr>
            </w:pPr>
            <w:r>
              <w:rPr>
                <w:bCs/>
              </w:rPr>
              <w:t>EHR</w:t>
            </w:r>
          </w:p>
        </w:tc>
        <w:tc>
          <w:tcPr>
            <w:tcW w:w="6739" w:type="dxa"/>
          </w:tcPr>
          <w:p w14:paraId="34B88AA4" w14:textId="77777777" w:rsidR="00306B55" w:rsidRDefault="00306B55" w:rsidP="00306B55">
            <w:pPr>
              <w:rPr>
                <w:b/>
                <w:bCs/>
              </w:rPr>
            </w:pPr>
            <w:r w:rsidRPr="00224333">
              <w:rPr>
                <w:b/>
                <w:bCs/>
              </w:rPr>
              <w:t xml:space="preserve">Report on a </w:t>
            </w:r>
            <w:r>
              <w:rPr>
                <w:b/>
                <w:bCs/>
              </w:rPr>
              <w:t>quarterly</w:t>
            </w:r>
            <w:r w:rsidRPr="00224333">
              <w:rPr>
                <w:b/>
                <w:bCs/>
              </w:rPr>
              <w:t xml:space="preserve"> basis</w:t>
            </w:r>
          </w:p>
          <w:p w14:paraId="26AB963D" w14:textId="77777777" w:rsidR="00306B55" w:rsidRDefault="00306B55" w:rsidP="00306B55">
            <w:pPr>
              <w:rPr>
                <w:b/>
                <w:bCs/>
              </w:rPr>
            </w:pPr>
          </w:p>
          <w:p w14:paraId="1FAF61C7" w14:textId="77777777" w:rsidR="00306B55" w:rsidRPr="00C44C4E" w:rsidRDefault="00306B55" w:rsidP="00306B5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1B034781" w14:textId="6271635C" w:rsidR="005D597C" w:rsidRDefault="005D597C" w:rsidP="001662F1">
            <w:pPr>
              <w:rPr>
                <w:bCs/>
              </w:rPr>
            </w:pPr>
          </w:p>
          <w:p w14:paraId="32FDA62D" w14:textId="61065A18" w:rsidR="00A87F64" w:rsidRPr="00A87F64" w:rsidRDefault="00A87F64" w:rsidP="001662F1">
            <w:pPr>
              <w:rPr>
                <w:rFonts w:cstheme="minorHAnsi"/>
                <w:bCs/>
                <w:iCs/>
              </w:rPr>
            </w:pPr>
            <w:r w:rsidRPr="009055AA">
              <w:rPr>
                <w:rFonts w:cstheme="minorHAnsi"/>
                <w:bCs/>
                <w:iCs/>
              </w:rPr>
              <w:t xml:space="preserve">In </w:t>
            </w:r>
            <w:r w:rsidR="00824239">
              <w:rPr>
                <w:rFonts w:cstheme="minorHAnsi"/>
                <w:bCs/>
                <w:iCs/>
              </w:rPr>
              <w:t>LifeQI</w:t>
            </w:r>
            <w:r w:rsidRPr="009055AA">
              <w:rPr>
                <w:rFonts w:cstheme="minorHAnsi"/>
                <w:bCs/>
                <w:iCs/>
              </w:rPr>
              <w:t xml:space="preserve">, please enter the </w:t>
            </w:r>
            <w:r>
              <w:rPr>
                <w:rFonts w:cstheme="minorHAnsi"/>
                <w:bCs/>
                <w:iCs/>
              </w:rPr>
              <w:t>quarterly data</w:t>
            </w:r>
            <w:r w:rsidRPr="009055AA">
              <w:rPr>
                <w:rFonts w:cstheme="minorHAnsi"/>
                <w:bCs/>
                <w:iCs/>
              </w:rPr>
              <w:t xml:space="preserve"> in the last month of the </w:t>
            </w:r>
            <w:r>
              <w:rPr>
                <w:rFonts w:cstheme="minorHAnsi"/>
                <w:bCs/>
                <w:iCs/>
              </w:rPr>
              <w:t xml:space="preserve">quarter. </w:t>
            </w:r>
            <w:r w:rsidRPr="009055AA">
              <w:rPr>
                <w:rFonts w:cstheme="minorHAnsi"/>
                <w:bCs/>
                <w:iCs/>
              </w:rPr>
              <w:t xml:space="preserve"> </w:t>
            </w:r>
          </w:p>
          <w:p w14:paraId="7E8EE717" w14:textId="77777777" w:rsidR="00A87F64" w:rsidRDefault="00A87F64" w:rsidP="001662F1">
            <w:pPr>
              <w:rPr>
                <w:bCs/>
              </w:rPr>
            </w:pPr>
          </w:p>
          <w:p w14:paraId="35EF41A9" w14:textId="5ED49C80" w:rsidR="005D597C" w:rsidRPr="005939DC" w:rsidRDefault="005D597C" w:rsidP="001662F1">
            <w:pPr>
              <w:rPr>
                <w:bCs/>
              </w:rPr>
            </w:pPr>
            <w:r>
              <w:rPr>
                <w:bCs/>
              </w:rPr>
              <w:t>You may also</w:t>
            </w:r>
            <w:r w:rsidRPr="005939DC">
              <w:rPr>
                <w:bCs/>
              </w:rPr>
              <w:t xml:space="preserve"> trac</w:t>
            </w:r>
            <w:r>
              <w:rPr>
                <w:bCs/>
              </w:rPr>
              <w:t xml:space="preserve">k LARC receipt through the </w:t>
            </w:r>
            <w:r w:rsidRPr="005939DC">
              <w:rPr>
                <w:bCs/>
              </w:rPr>
              <w:t>medication administration record</w:t>
            </w:r>
            <w:r>
              <w:rPr>
                <w:bCs/>
              </w:rPr>
              <w:t xml:space="preserve"> (MAR).</w:t>
            </w:r>
          </w:p>
          <w:p w14:paraId="1D5C72C4" w14:textId="77777777" w:rsidR="005D597C" w:rsidRPr="005939DC" w:rsidRDefault="005D597C" w:rsidP="001662F1">
            <w:pPr>
              <w:rPr>
                <w:bCs/>
              </w:rPr>
            </w:pPr>
          </w:p>
          <w:p w14:paraId="0B227E84" w14:textId="27E5C2BF" w:rsidR="005D597C" w:rsidRDefault="005D597C" w:rsidP="001662F1">
            <w:pPr>
              <w:rPr>
                <w:bCs/>
              </w:rPr>
            </w:pPr>
            <w:r>
              <w:rPr>
                <w:bCs/>
              </w:rPr>
              <w:t>You m</w:t>
            </w:r>
            <w:r w:rsidRPr="005939DC">
              <w:rPr>
                <w:bCs/>
              </w:rPr>
              <w:t>ay need to add new forms of documentation to EHR to determine patients</w:t>
            </w:r>
            <w:r>
              <w:rPr>
                <w:bCs/>
              </w:rPr>
              <w:t>’</w:t>
            </w:r>
            <w:r w:rsidRPr="005939DC">
              <w:rPr>
                <w:bCs/>
              </w:rPr>
              <w:t xml:space="preserve"> </w:t>
            </w:r>
            <w:r w:rsidRPr="005939DC">
              <w:rPr>
                <w:bCs/>
                <w:i/>
                <w:iCs/>
              </w:rPr>
              <w:t xml:space="preserve">desire </w:t>
            </w:r>
            <w:r w:rsidRPr="005939DC">
              <w:rPr>
                <w:bCs/>
              </w:rPr>
              <w:t xml:space="preserve">for IPLARC. For example, </w:t>
            </w:r>
            <w:r>
              <w:rPr>
                <w:bCs/>
              </w:rPr>
              <w:t>you may add the question,</w:t>
            </w:r>
            <w:r w:rsidRPr="005939DC">
              <w:rPr>
                <w:bCs/>
              </w:rPr>
              <w:t xml:space="preserve"> “What, if any, type of contraception do you desire immediately postpartum?” to prenatal care and admission to L&amp;D</w:t>
            </w:r>
            <w:r>
              <w:rPr>
                <w:bCs/>
              </w:rPr>
              <w:t xml:space="preserve"> forms</w:t>
            </w:r>
            <w:r w:rsidRPr="005939DC">
              <w:rPr>
                <w:bCs/>
              </w:rPr>
              <w:t>.</w:t>
            </w:r>
            <w:r>
              <w:rPr>
                <w:bCs/>
              </w:rPr>
              <w:t xml:space="preserve"> Please click </w:t>
            </w:r>
            <w:hyperlink r:id="rId9" w:history="1">
              <w:r w:rsidRPr="005939DC">
                <w:rPr>
                  <w:rStyle w:val="Hyperlink"/>
                  <w:bCs/>
                </w:rPr>
                <w:t>here</w:t>
              </w:r>
            </w:hyperlink>
            <w:r>
              <w:rPr>
                <w:bCs/>
              </w:rPr>
              <w:t xml:space="preserve"> for examples of Contraceptive Counseling SmartForm and Postpartum Contraceptive Order Sets from Michigan.  </w:t>
            </w:r>
          </w:p>
          <w:p w14:paraId="70002FCE" w14:textId="77777777" w:rsidR="005D597C" w:rsidRDefault="005D597C" w:rsidP="001662F1">
            <w:pPr>
              <w:rPr>
                <w:bCs/>
              </w:rPr>
            </w:pPr>
          </w:p>
          <w:p w14:paraId="115903BB" w14:textId="77777777" w:rsidR="005D597C" w:rsidRDefault="005D597C" w:rsidP="00B5128B">
            <w:pPr>
              <w:rPr>
                <w:bCs/>
              </w:rPr>
            </w:pPr>
            <w:r>
              <w:rPr>
                <w:bCs/>
              </w:rPr>
              <w:t xml:space="preserve">While waiting for these types of EHR changes to take place, the PA PQC suggests to track and report the number of LARC devices being placed over time (i.e., just enter the numerator among </w:t>
            </w:r>
            <w:r w:rsidRPr="00BE437C">
              <w:rPr>
                <w:bCs/>
              </w:rPr>
              <w:t xml:space="preserve">postpartum </w:t>
            </w:r>
            <w:r>
              <w:rPr>
                <w:bCs/>
              </w:rPr>
              <w:t xml:space="preserve">individuals </w:t>
            </w:r>
            <w:r w:rsidRPr="00BE437C">
              <w:rPr>
                <w:bCs/>
              </w:rPr>
              <w:t>aged 15-44 years who had a live birth)</w:t>
            </w:r>
            <w:r>
              <w:rPr>
                <w:bCs/>
              </w:rPr>
              <w:t>.</w:t>
            </w:r>
          </w:p>
          <w:p w14:paraId="1B6070D0" w14:textId="77777777" w:rsidR="00A87F64" w:rsidRDefault="00A87F64" w:rsidP="00B5128B">
            <w:pPr>
              <w:rPr>
                <w:bCs/>
              </w:rPr>
            </w:pPr>
          </w:p>
          <w:p w14:paraId="41FB5C37" w14:textId="77777777" w:rsidR="00A87F64" w:rsidRDefault="00A87F64" w:rsidP="00B5128B">
            <w:pPr>
              <w:rPr>
                <w:bCs/>
              </w:rPr>
            </w:pPr>
          </w:p>
          <w:p w14:paraId="16BAF5A8" w14:textId="77777777" w:rsidR="00A87F64" w:rsidRDefault="00A87F64" w:rsidP="00B5128B">
            <w:pPr>
              <w:rPr>
                <w:bCs/>
              </w:rPr>
            </w:pPr>
          </w:p>
          <w:p w14:paraId="42D0BE42" w14:textId="2CA9C286" w:rsidR="00A87F64" w:rsidRDefault="00A87F64" w:rsidP="00B5128B">
            <w:pPr>
              <w:rPr>
                <w:bCs/>
              </w:rPr>
            </w:pPr>
          </w:p>
          <w:p w14:paraId="07985AA9" w14:textId="77777777" w:rsidR="00A87F64" w:rsidRDefault="00A87F64" w:rsidP="00B5128B">
            <w:pPr>
              <w:rPr>
                <w:bCs/>
              </w:rPr>
            </w:pPr>
          </w:p>
          <w:p w14:paraId="28C64010" w14:textId="1D6EE841" w:rsidR="00A87F64" w:rsidRPr="0036481B" w:rsidRDefault="00A87F64" w:rsidP="00B5128B">
            <w:pPr>
              <w:rPr>
                <w:bCs/>
              </w:rPr>
            </w:pPr>
          </w:p>
        </w:tc>
      </w:tr>
      <w:tr w:rsidR="005D597C" w:rsidRPr="00FF543F" w14:paraId="4C832995" w14:textId="77777777" w:rsidTr="00A87F64">
        <w:tc>
          <w:tcPr>
            <w:tcW w:w="1795" w:type="dxa"/>
          </w:tcPr>
          <w:p w14:paraId="5DD1EFD8" w14:textId="7DA26D41" w:rsidR="005D597C" w:rsidRPr="00306B55" w:rsidRDefault="005D597C" w:rsidP="00BE437C">
            <w:pPr>
              <w:tabs>
                <w:tab w:val="left" w:pos="1811"/>
              </w:tabs>
              <w:rPr>
                <w:b/>
                <w:bCs/>
              </w:rPr>
            </w:pPr>
            <w:r w:rsidRPr="00306B55">
              <w:rPr>
                <w:b/>
                <w:bCs/>
              </w:rPr>
              <w:lastRenderedPageBreak/>
              <w:t>Percentage of eligible individuals with OUD who received IPLARC</w:t>
            </w:r>
          </w:p>
          <w:p w14:paraId="7C8D0538" w14:textId="48F7DDFC" w:rsidR="005D597C" w:rsidRPr="00306B55" w:rsidRDefault="005D597C" w:rsidP="00BE437C">
            <w:pPr>
              <w:tabs>
                <w:tab w:val="left" w:pos="1811"/>
              </w:tabs>
              <w:rPr>
                <w:b/>
                <w:bCs/>
              </w:rPr>
            </w:pPr>
          </w:p>
          <w:p w14:paraId="5B0BD444" w14:textId="77777777" w:rsidR="005D597C" w:rsidRPr="00306B55" w:rsidRDefault="005D597C" w:rsidP="00306B55">
            <w:pPr>
              <w:tabs>
                <w:tab w:val="left" w:pos="1811"/>
              </w:tabs>
              <w:rPr>
                <w:b/>
                <w:bCs/>
              </w:rPr>
            </w:pPr>
          </w:p>
        </w:tc>
        <w:tc>
          <w:tcPr>
            <w:tcW w:w="1564" w:type="dxa"/>
          </w:tcPr>
          <w:p w14:paraId="6FDB1C67" w14:textId="1127CB20" w:rsidR="005D597C" w:rsidRPr="00BE437C" w:rsidRDefault="005D597C" w:rsidP="00471E2A">
            <w:pPr>
              <w:rPr>
                <w:bCs/>
              </w:rPr>
            </w:pPr>
            <w:r w:rsidRPr="00BE437C">
              <w:rPr>
                <w:bCs/>
              </w:rPr>
              <w:t>Number of LARC devices placed prior to discharge</w:t>
            </w:r>
          </w:p>
        </w:tc>
        <w:tc>
          <w:tcPr>
            <w:tcW w:w="1573" w:type="dxa"/>
          </w:tcPr>
          <w:p w14:paraId="43DD843E" w14:textId="34D80BC9" w:rsidR="005D597C" w:rsidRPr="00BE437C" w:rsidRDefault="005D597C" w:rsidP="005D597C">
            <w:pPr>
              <w:rPr>
                <w:bCs/>
              </w:rPr>
            </w:pPr>
            <w:r w:rsidRPr="00BE437C">
              <w:rPr>
                <w:bCs/>
              </w:rPr>
              <w:t xml:space="preserve">Number of postpartum </w:t>
            </w:r>
            <w:r>
              <w:rPr>
                <w:bCs/>
              </w:rPr>
              <w:t>individuals (</w:t>
            </w:r>
            <w:r w:rsidRPr="00BE437C">
              <w:rPr>
                <w:bCs/>
              </w:rPr>
              <w:t>aged 15-44 years who had a live birth) with OUD who desired IPLARC placement</w:t>
            </w:r>
          </w:p>
        </w:tc>
        <w:tc>
          <w:tcPr>
            <w:tcW w:w="1284" w:type="dxa"/>
          </w:tcPr>
          <w:p w14:paraId="24271CDC" w14:textId="0DCC790E" w:rsidR="005D597C" w:rsidRPr="00F755F6" w:rsidRDefault="005D597C" w:rsidP="00471E2A">
            <w:pPr>
              <w:rPr>
                <w:bCs/>
              </w:rPr>
            </w:pPr>
            <w:r>
              <w:rPr>
                <w:bCs/>
              </w:rPr>
              <w:t>EHR</w:t>
            </w:r>
          </w:p>
        </w:tc>
        <w:tc>
          <w:tcPr>
            <w:tcW w:w="6739" w:type="dxa"/>
          </w:tcPr>
          <w:p w14:paraId="3F2500A2" w14:textId="77777777" w:rsidR="00306B55" w:rsidRDefault="00306B55" w:rsidP="00306B55">
            <w:pPr>
              <w:rPr>
                <w:b/>
                <w:bCs/>
              </w:rPr>
            </w:pPr>
            <w:r w:rsidRPr="00224333">
              <w:rPr>
                <w:b/>
                <w:bCs/>
              </w:rPr>
              <w:t xml:space="preserve">Report on a </w:t>
            </w:r>
            <w:r>
              <w:rPr>
                <w:b/>
                <w:bCs/>
              </w:rPr>
              <w:t>quarterly</w:t>
            </w:r>
            <w:r w:rsidRPr="00224333">
              <w:rPr>
                <w:b/>
                <w:bCs/>
              </w:rPr>
              <w:t xml:space="preserve"> basis</w:t>
            </w:r>
          </w:p>
          <w:p w14:paraId="0996178E" w14:textId="77777777" w:rsidR="00306B55" w:rsidRDefault="00306B55" w:rsidP="00306B55">
            <w:pPr>
              <w:rPr>
                <w:b/>
                <w:bCs/>
              </w:rPr>
            </w:pPr>
          </w:p>
          <w:p w14:paraId="5E1247C0" w14:textId="02616710" w:rsidR="00306B55" w:rsidRDefault="00306B55" w:rsidP="00306B55">
            <w:pPr>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6DBB8F3A" w14:textId="4F7289AD" w:rsidR="00A87F64" w:rsidRDefault="00A87F64" w:rsidP="00306B55">
            <w:pPr>
              <w:rPr>
                <w:rFonts w:cstheme="minorHAnsi"/>
                <w:bCs/>
              </w:rPr>
            </w:pPr>
          </w:p>
          <w:p w14:paraId="6029B6D1" w14:textId="293DA0EC" w:rsidR="00A87F64" w:rsidRPr="00A87F64" w:rsidRDefault="00A87F64" w:rsidP="00A87F64">
            <w:pPr>
              <w:rPr>
                <w:rFonts w:cstheme="minorHAnsi"/>
                <w:bCs/>
                <w:iCs/>
              </w:rPr>
            </w:pPr>
            <w:r w:rsidRPr="009055AA">
              <w:rPr>
                <w:rFonts w:cstheme="minorHAnsi"/>
                <w:bCs/>
                <w:iCs/>
              </w:rPr>
              <w:t xml:space="preserve">In </w:t>
            </w:r>
            <w:r w:rsidR="00824239">
              <w:rPr>
                <w:rFonts w:cstheme="minorHAnsi"/>
                <w:bCs/>
                <w:iCs/>
              </w:rPr>
              <w:t>LifeQI</w:t>
            </w:r>
            <w:r w:rsidRPr="009055AA">
              <w:rPr>
                <w:rFonts w:cstheme="minorHAnsi"/>
                <w:bCs/>
                <w:iCs/>
              </w:rPr>
              <w:t xml:space="preserve">, please enter the </w:t>
            </w:r>
            <w:r>
              <w:rPr>
                <w:rFonts w:cstheme="minorHAnsi"/>
                <w:bCs/>
                <w:iCs/>
              </w:rPr>
              <w:t>quarterly data</w:t>
            </w:r>
            <w:r w:rsidRPr="009055AA">
              <w:rPr>
                <w:rFonts w:cstheme="minorHAnsi"/>
                <w:bCs/>
                <w:iCs/>
              </w:rPr>
              <w:t xml:space="preserve"> in the last month of the </w:t>
            </w:r>
            <w:r>
              <w:rPr>
                <w:rFonts w:cstheme="minorHAnsi"/>
                <w:bCs/>
                <w:iCs/>
              </w:rPr>
              <w:t xml:space="preserve">quarter. </w:t>
            </w:r>
            <w:r w:rsidRPr="009055AA">
              <w:rPr>
                <w:rFonts w:cstheme="minorHAnsi"/>
                <w:bCs/>
                <w:iCs/>
              </w:rPr>
              <w:t xml:space="preserve"> </w:t>
            </w:r>
          </w:p>
          <w:p w14:paraId="1144AFA9" w14:textId="01BCA721" w:rsidR="005D597C" w:rsidRDefault="005D597C" w:rsidP="005D597C">
            <w:pPr>
              <w:rPr>
                <w:bCs/>
              </w:rPr>
            </w:pPr>
          </w:p>
          <w:p w14:paraId="13139B5F" w14:textId="77777777" w:rsidR="005D597C" w:rsidRPr="005939DC" w:rsidRDefault="005D597C" w:rsidP="005D597C">
            <w:pPr>
              <w:rPr>
                <w:bCs/>
              </w:rPr>
            </w:pPr>
            <w:r>
              <w:rPr>
                <w:bCs/>
              </w:rPr>
              <w:t>You may also</w:t>
            </w:r>
            <w:r w:rsidRPr="005939DC">
              <w:rPr>
                <w:bCs/>
              </w:rPr>
              <w:t xml:space="preserve"> trac</w:t>
            </w:r>
            <w:r>
              <w:rPr>
                <w:bCs/>
              </w:rPr>
              <w:t xml:space="preserve">k LARC receipt through the </w:t>
            </w:r>
            <w:r w:rsidRPr="005939DC">
              <w:rPr>
                <w:bCs/>
              </w:rPr>
              <w:t>medication administration record</w:t>
            </w:r>
            <w:r>
              <w:rPr>
                <w:bCs/>
              </w:rPr>
              <w:t xml:space="preserve"> (MAR).</w:t>
            </w:r>
          </w:p>
          <w:p w14:paraId="723C4F18" w14:textId="77777777" w:rsidR="005D597C" w:rsidRPr="005939DC" w:rsidRDefault="005D597C" w:rsidP="005D597C">
            <w:pPr>
              <w:rPr>
                <w:bCs/>
              </w:rPr>
            </w:pPr>
          </w:p>
          <w:p w14:paraId="0EB345C8" w14:textId="77777777" w:rsidR="005D597C" w:rsidRDefault="005D597C" w:rsidP="005D597C">
            <w:pPr>
              <w:rPr>
                <w:bCs/>
              </w:rPr>
            </w:pPr>
            <w:r>
              <w:rPr>
                <w:bCs/>
              </w:rPr>
              <w:t>You m</w:t>
            </w:r>
            <w:r w:rsidRPr="005939DC">
              <w:rPr>
                <w:bCs/>
              </w:rPr>
              <w:t>ay need to add new forms of documentation to EHR to determine patients</w:t>
            </w:r>
            <w:r>
              <w:rPr>
                <w:bCs/>
              </w:rPr>
              <w:t>’</w:t>
            </w:r>
            <w:r w:rsidRPr="005939DC">
              <w:rPr>
                <w:bCs/>
              </w:rPr>
              <w:t xml:space="preserve"> </w:t>
            </w:r>
            <w:r w:rsidRPr="005939DC">
              <w:rPr>
                <w:bCs/>
                <w:i/>
                <w:iCs/>
              </w:rPr>
              <w:t xml:space="preserve">desire </w:t>
            </w:r>
            <w:r w:rsidRPr="005939DC">
              <w:rPr>
                <w:bCs/>
              </w:rPr>
              <w:t xml:space="preserve">for IPLARC. For example, </w:t>
            </w:r>
            <w:r>
              <w:rPr>
                <w:bCs/>
              </w:rPr>
              <w:t>you may add the question,</w:t>
            </w:r>
            <w:r w:rsidRPr="005939DC">
              <w:rPr>
                <w:bCs/>
              </w:rPr>
              <w:t xml:space="preserve"> “What, if any, type of contraception do you desire immediately postpartum?” to prenatal care and admission to L&amp;D</w:t>
            </w:r>
            <w:r>
              <w:rPr>
                <w:bCs/>
              </w:rPr>
              <w:t xml:space="preserve"> forms</w:t>
            </w:r>
            <w:r w:rsidRPr="005939DC">
              <w:rPr>
                <w:bCs/>
              </w:rPr>
              <w:t>.</w:t>
            </w:r>
            <w:r>
              <w:rPr>
                <w:bCs/>
              </w:rPr>
              <w:t xml:space="preserve"> Please click </w:t>
            </w:r>
            <w:hyperlink r:id="rId10" w:history="1">
              <w:r w:rsidRPr="005939DC">
                <w:rPr>
                  <w:rStyle w:val="Hyperlink"/>
                  <w:bCs/>
                </w:rPr>
                <w:t>here</w:t>
              </w:r>
            </w:hyperlink>
            <w:r>
              <w:rPr>
                <w:bCs/>
              </w:rPr>
              <w:t xml:space="preserve"> for examples of Contraceptive Counseling SmartForm and Postpartum Contraceptive Order Sets from Michigan.  </w:t>
            </w:r>
          </w:p>
          <w:p w14:paraId="0E88B917" w14:textId="77777777" w:rsidR="005D597C" w:rsidRDefault="005D597C" w:rsidP="005D597C">
            <w:pPr>
              <w:rPr>
                <w:bCs/>
              </w:rPr>
            </w:pPr>
          </w:p>
          <w:p w14:paraId="791B9CA0" w14:textId="48934D65" w:rsidR="005D597C" w:rsidRDefault="005D597C" w:rsidP="005D597C">
            <w:pPr>
              <w:rPr>
                <w:bCs/>
              </w:rPr>
            </w:pPr>
            <w:r>
              <w:rPr>
                <w:bCs/>
              </w:rPr>
              <w:t xml:space="preserve">While waiting for these types of EHR changes to take place, the PA PQC suggests to track and report the number of LARC devices being placed over time (i.e., just enter the numerator among </w:t>
            </w:r>
            <w:r w:rsidRPr="00BE437C">
              <w:rPr>
                <w:bCs/>
              </w:rPr>
              <w:t xml:space="preserve">postpartum </w:t>
            </w:r>
            <w:r>
              <w:rPr>
                <w:bCs/>
              </w:rPr>
              <w:t xml:space="preserve">individuals </w:t>
            </w:r>
            <w:r w:rsidRPr="00BE437C">
              <w:rPr>
                <w:bCs/>
              </w:rPr>
              <w:t>aged 15-44 years who had a live birth</w:t>
            </w:r>
            <w:r>
              <w:rPr>
                <w:bCs/>
              </w:rPr>
              <w:t xml:space="preserve"> with </w:t>
            </w:r>
            <w:r w:rsidRPr="00BE437C">
              <w:rPr>
                <w:bCs/>
              </w:rPr>
              <w:t>OUD)</w:t>
            </w:r>
            <w:r>
              <w:rPr>
                <w:bCs/>
              </w:rPr>
              <w:t>.</w:t>
            </w:r>
          </w:p>
          <w:p w14:paraId="115B602D" w14:textId="77777777" w:rsidR="005D597C" w:rsidRPr="005939DC" w:rsidRDefault="005D597C" w:rsidP="00BE437C">
            <w:pPr>
              <w:rPr>
                <w:bCs/>
                <w:i/>
                <w:highlight w:val="yellow"/>
              </w:rPr>
            </w:pPr>
          </w:p>
          <w:p w14:paraId="006B9317" w14:textId="77777777" w:rsidR="005D597C" w:rsidRPr="00DE6A19" w:rsidRDefault="005D597C" w:rsidP="00BE437C">
            <w:pPr>
              <w:rPr>
                <w:bCs/>
                <w:i/>
              </w:rPr>
            </w:pPr>
            <w:r w:rsidRPr="00DE6A19">
              <w:rPr>
                <w:bCs/>
                <w:i/>
              </w:rPr>
              <w:t xml:space="preserve">“with OUD” defined as: </w:t>
            </w:r>
          </w:p>
          <w:p w14:paraId="4D8DF7CF" w14:textId="3786E633" w:rsidR="005D597C" w:rsidRPr="00DE6A19" w:rsidRDefault="005D597C" w:rsidP="00B515BB">
            <w:pPr>
              <w:pStyle w:val="ListParagraph"/>
              <w:numPr>
                <w:ilvl w:val="0"/>
                <w:numId w:val="3"/>
              </w:numPr>
              <w:ind w:left="443"/>
              <w:rPr>
                <w:bCs/>
                <w:i/>
              </w:rPr>
            </w:pPr>
            <w:r>
              <w:rPr>
                <w:bCs/>
              </w:rPr>
              <w:t>Clinical Criteria:</w:t>
            </w:r>
          </w:p>
          <w:p w14:paraId="6E6655FE" w14:textId="77777777" w:rsidR="005D597C" w:rsidRPr="00DE6A19" w:rsidRDefault="005D597C" w:rsidP="00B515BB">
            <w:pPr>
              <w:pStyle w:val="ListParagraph"/>
              <w:numPr>
                <w:ilvl w:val="1"/>
                <w:numId w:val="3"/>
              </w:numPr>
              <w:ind w:left="893"/>
              <w:rPr>
                <w:bCs/>
                <w:i/>
              </w:rPr>
            </w:pPr>
            <w:r w:rsidRPr="00DE6A19">
              <w:rPr>
                <w:bCs/>
              </w:rPr>
              <w:t>positive self-report screen or positive opioid toxicology test during pregnancy and assessed to have OUD, or</w:t>
            </w:r>
          </w:p>
          <w:p w14:paraId="4B6098CC" w14:textId="77777777" w:rsidR="005D597C" w:rsidRPr="00DE6A19" w:rsidRDefault="005D597C" w:rsidP="00B515BB">
            <w:pPr>
              <w:pStyle w:val="ListParagraph"/>
              <w:numPr>
                <w:ilvl w:val="1"/>
                <w:numId w:val="3"/>
              </w:numPr>
              <w:ind w:left="893"/>
              <w:rPr>
                <w:bCs/>
                <w:i/>
              </w:rPr>
            </w:pPr>
            <w:r w:rsidRPr="00DE6A19">
              <w:rPr>
                <w:bCs/>
              </w:rPr>
              <w:t xml:space="preserve">Patient endorses or reports misuse of opioids / opioid use disorder, or </w:t>
            </w:r>
          </w:p>
          <w:p w14:paraId="79C77AFD" w14:textId="77777777" w:rsidR="005D597C" w:rsidRPr="00DE6A19" w:rsidRDefault="005D597C" w:rsidP="00B515BB">
            <w:pPr>
              <w:pStyle w:val="ListParagraph"/>
              <w:numPr>
                <w:ilvl w:val="1"/>
                <w:numId w:val="3"/>
              </w:numPr>
              <w:ind w:left="893"/>
              <w:rPr>
                <w:bCs/>
                <w:i/>
              </w:rPr>
            </w:pPr>
            <w:r w:rsidRPr="00DE6A19">
              <w:rPr>
                <w:bCs/>
              </w:rPr>
              <w:lastRenderedPageBreak/>
              <w:t>using non-prescribed opioids during pregnancy, or</w:t>
            </w:r>
          </w:p>
          <w:p w14:paraId="5D93E095" w14:textId="77777777" w:rsidR="005D597C" w:rsidRPr="00DE6A19" w:rsidRDefault="005D597C" w:rsidP="00B515BB">
            <w:pPr>
              <w:pStyle w:val="ListParagraph"/>
              <w:numPr>
                <w:ilvl w:val="1"/>
                <w:numId w:val="3"/>
              </w:numPr>
              <w:ind w:left="893"/>
              <w:rPr>
                <w:bCs/>
                <w:i/>
              </w:rPr>
            </w:pPr>
            <w:r w:rsidRPr="00DE6A19">
              <w:rPr>
                <w:bCs/>
              </w:rPr>
              <w:t>using prescribed opioids chronically for longer than a month in the third trimester (i.e., week 28 of pregnancy until birth), or</w:t>
            </w:r>
          </w:p>
          <w:p w14:paraId="41378AD5" w14:textId="77777777" w:rsidR="005D597C" w:rsidRPr="00DE6A19" w:rsidRDefault="005D597C" w:rsidP="00B515BB">
            <w:pPr>
              <w:pStyle w:val="ListParagraph"/>
              <w:numPr>
                <w:ilvl w:val="1"/>
                <w:numId w:val="3"/>
              </w:numPr>
              <w:ind w:left="893"/>
              <w:rPr>
                <w:bCs/>
                <w:i/>
              </w:rPr>
            </w:pPr>
            <w:r w:rsidRPr="00DE6A19">
              <w:rPr>
                <w:bCs/>
              </w:rPr>
              <w:t>newborn has an unanticipated positive neonatal cord, urine, or meconium test for opioids or if newborn has symptoms associated with opioid exposure including NAS</w:t>
            </w:r>
          </w:p>
          <w:p w14:paraId="6F06BDAB" w14:textId="77777777" w:rsidR="005D597C" w:rsidRPr="005D597C" w:rsidRDefault="005D597C" w:rsidP="00B515BB">
            <w:pPr>
              <w:pStyle w:val="ListParagraph"/>
              <w:numPr>
                <w:ilvl w:val="0"/>
                <w:numId w:val="3"/>
              </w:numPr>
              <w:ind w:left="443"/>
              <w:rPr>
                <w:bCs/>
                <w:i/>
              </w:rPr>
            </w:pPr>
            <w:r w:rsidRPr="00DE6A19">
              <w:rPr>
                <w:bCs/>
                <w:iCs/>
              </w:rPr>
              <w:t xml:space="preserve">ICD-10 codes for OUD: </w:t>
            </w:r>
          </w:p>
          <w:p w14:paraId="3C347CC1" w14:textId="77777777" w:rsidR="005D597C" w:rsidRPr="005D597C" w:rsidRDefault="005D597C" w:rsidP="00B515BB">
            <w:pPr>
              <w:pStyle w:val="ListParagraph"/>
              <w:numPr>
                <w:ilvl w:val="1"/>
                <w:numId w:val="3"/>
              </w:numPr>
              <w:ind w:left="900"/>
              <w:rPr>
                <w:bCs/>
                <w:i/>
              </w:rPr>
            </w:pPr>
            <w:r>
              <w:rPr>
                <w:bCs/>
                <w:iCs/>
              </w:rPr>
              <w:t>F11 diagnosis codes</w:t>
            </w:r>
          </w:p>
          <w:p w14:paraId="0B8AF1B3" w14:textId="36840CA4" w:rsidR="005D597C" w:rsidRPr="005D597C" w:rsidRDefault="005D597C" w:rsidP="005D597C">
            <w:pPr>
              <w:ind w:left="540"/>
              <w:rPr>
                <w:bCs/>
                <w:i/>
              </w:rPr>
            </w:pPr>
            <w:r>
              <w:rPr>
                <w:bCs/>
                <w:iCs/>
              </w:rPr>
              <w:t>(</w:t>
            </w:r>
            <w:r w:rsidRPr="005D597C">
              <w:rPr>
                <w:bCs/>
                <w:iCs/>
              </w:rPr>
              <w:t>The OUD diagnosis should be counted if it is active between</w:t>
            </w:r>
            <w:r>
              <w:rPr>
                <w:bCs/>
                <w:iCs/>
              </w:rPr>
              <w:t xml:space="preserve"> the</w:t>
            </w:r>
            <w:r w:rsidRPr="005D597C">
              <w:rPr>
                <w:bCs/>
                <w:iCs/>
              </w:rPr>
              <w:t xml:space="preserve"> pregnancy start date and the end of the data reporting </w:t>
            </w:r>
            <w:r w:rsidR="00A87F64">
              <w:rPr>
                <w:bCs/>
                <w:iCs/>
              </w:rPr>
              <w:t>quarter</w:t>
            </w:r>
            <w:r w:rsidRPr="005D597C">
              <w:rPr>
                <w:bCs/>
                <w:iCs/>
              </w:rPr>
              <w:t>.)</w:t>
            </w:r>
          </w:p>
        </w:tc>
      </w:tr>
    </w:tbl>
    <w:p w14:paraId="4A3A6490" w14:textId="77777777" w:rsidR="00DF748E" w:rsidRDefault="00DF748E" w:rsidP="001A5A39">
      <w:pPr>
        <w:rPr>
          <w:highlight w:val="yellow"/>
        </w:rPr>
      </w:pPr>
    </w:p>
    <w:sectPr w:rsidR="00DF748E" w:rsidSect="00306B5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C594" w14:textId="77777777" w:rsidR="00994321" w:rsidRDefault="00994321" w:rsidP="009077D1">
      <w:pPr>
        <w:spacing w:after="0" w:line="240" w:lineRule="auto"/>
      </w:pPr>
      <w:r>
        <w:separator/>
      </w:r>
    </w:p>
  </w:endnote>
  <w:endnote w:type="continuationSeparator" w:id="0">
    <w:p w14:paraId="69ADFF95" w14:textId="77777777" w:rsidR="00994321" w:rsidRDefault="00994321"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259A" w14:textId="77777777" w:rsidR="00824239" w:rsidRDefault="0082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F79A" w14:textId="5B1A7103" w:rsidR="00845081" w:rsidRPr="005D597C" w:rsidRDefault="005D597C" w:rsidP="005D597C">
    <w:pPr>
      <w:pStyle w:val="Header"/>
    </w:pPr>
    <w:r w:rsidRPr="005D597C">
      <w:t xml:space="preserve">Page </w:t>
    </w:r>
    <w:r w:rsidRPr="005D597C">
      <w:rPr>
        <w:bCs/>
      </w:rPr>
      <w:fldChar w:fldCharType="begin"/>
    </w:r>
    <w:r w:rsidRPr="005D597C">
      <w:rPr>
        <w:bCs/>
      </w:rPr>
      <w:instrText xml:space="preserve"> PAGE  \* Arabic  \* MERGEFORMAT </w:instrText>
    </w:r>
    <w:r w:rsidRPr="005D597C">
      <w:rPr>
        <w:bCs/>
      </w:rPr>
      <w:fldChar w:fldCharType="separate"/>
    </w:r>
    <w:r>
      <w:rPr>
        <w:bCs/>
        <w:noProof/>
      </w:rPr>
      <w:t>3</w:t>
    </w:r>
    <w:r w:rsidRPr="005D597C">
      <w:rPr>
        <w:bCs/>
      </w:rPr>
      <w:fldChar w:fldCharType="end"/>
    </w:r>
    <w:r w:rsidRPr="005D597C">
      <w:t xml:space="preserve"> of </w:t>
    </w:r>
    <w:r w:rsidRPr="005D597C">
      <w:rPr>
        <w:bCs/>
      </w:rPr>
      <w:fldChar w:fldCharType="begin"/>
    </w:r>
    <w:r w:rsidRPr="005D597C">
      <w:rPr>
        <w:bCs/>
      </w:rPr>
      <w:instrText xml:space="preserve"> NUMPAGES  \* Arabic  \* MERGEFORMAT </w:instrText>
    </w:r>
    <w:r w:rsidRPr="005D597C">
      <w:rPr>
        <w:bCs/>
      </w:rPr>
      <w:fldChar w:fldCharType="separate"/>
    </w:r>
    <w:r>
      <w:rPr>
        <w:bCs/>
        <w:noProof/>
      </w:rPr>
      <w:t>3</w:t>
    </w:r>
    <w:r w:rsidRPr="005D597C">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BAF" w14:textId="77777777" w:rsidR="00824239" w:rsidRDefault="0082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4FD6" w14:textId="77777777" w:rsidR="00994321" w:rsidRDefault="00994321" w:rsidP="009077D1">
      <w:pPr>
        <w:spacing w:after="0" w:line="240" w:lineRule="auto"/>
      </w:pPr>
      <w:r>
        <w:separator/>
      </w:r>
    </w:p>
  </w:footnote>
  <w:footnote w:type="continuationSeparator" w:id="0">
    <w:p w14:paraId="2EFD2D5F" w14:textId="77777777" w:rsidR="00994321" w:rsidRDefault="00994321"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DDB" w14:textId="77777777" w:rsidR="00824239" w:rsidRDefault="0082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ADEA" w14:textId="5230A371" w:rsidR="005D597C" w:rsidRDefault="00824239">
    <w:pPr>
      <w:pStyle w:val="Header"/>
    </w:pPr>
    <w:r>
      <w:rPr>
        <w:b/>
        <w:i/>
      </w:rPr>
      <w:t>June 9,</w:t>
    </w:r>
    <w:r w:rsidR="00306B55">
      <w:rPr>
        <w:b/>
        <w:i/>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2213" w14:textId="77777777" w:rsidR="00824239" w:rsidRDefault="0082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A7"/>
    <w:multiLevelType w:val="hybridMultilevel"/>
    <w:tmpl w:val="3D74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F4E"/>
    <w:multiLevelType w:val="hybridMultilevel"/>
    <w:tmpl w:val="477E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67D3"/>
    <w:multiLevelType w:val="hybridMultilevel"/>
    <w:tmpl w:val="AADC5F1A"/>
    <w:lvl w:ilvl="0" w:tplc="194E27E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03FD0"/>
    <w:multiLevelType w:val="hybridMultilevel"/>
    <w:tmpl w:val="B7E20B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51BE5"/>
    <w:multiLevelType w:val="hybridMultilevel"/>
    <w:tmpl w:val="FEC694BA"/>
    <w:lvl w:ilvl="0" w:tplc="254E754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E3294"/>
    <w:multiLevelType w:val="hybridMultilevel"/>
    <w:tmpl w:val="2C12FC12"/>
    <w:lvl w:ilvl="0" w:tplc="04090001">
      <w:start w:val="1"/>
      <w:numFmt w:val="bullet"/>
      <w:lvlText w:val=""/>
      <w:lvlJc w:val="left"/>
      <w:pPr>
        <w:ind w:left="720" w:hanging="360"/>
      </w:pPr>
      <w:rPr>
        <w:rFonts w:ascii="Symbol" w:hAnsi="Symbol"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551A8"/>
    <w:multiLevelType w:val="hybridMultilevel"/>
    <w:tmpl w:val="B80C30BC"/>
    <w:lvl w:ilvl="0" w:tplc="04090001">
      <w:start w:val="1"/>
      <w:numFmt w:val="bullet"/>
      <w:lvlText w:val=""/>
      <w:lvlJc w:val="left"/>
      <w:pPr>
        <w:ind w:left="720" w:hanging="360"/>
      </w:pPr>
      <w:rPr>
        <w:rFonts w:ascii="Symbol" w:hAnsi="Symbol"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44F05"/>
    <w:multiLevelType w:val="hybridMultilevel"/>
    <w:tmpl w:val="829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2040">
    <w:abstractNumId w:val="2"/>
  </w:num>
  <w:num w:numId="2" w16cid:durableId="684985150">
    <w:abstractNumId w:val="9"/>
  </w:num>
  <w:num w:numId="3" w16cid:durableId="452211741">
    <w:abstractNumId w:val="0"/>
  </w:num>
  <w:num w:numId="4" w16cid:durableId="1207182040">
    <w:abstractNumId w:val="3"/>
  </w:num>
  <w:num w:numId="5" w16cid:durableId="1473210028">
    <w:abstractNumId w:val="5"/>
  </w:num>
  <w:num w:numId="6" w16cid:durableId="1948852918">
    <w:abstractNumId w:val="1"/>
  </w:num>
  <w:num w:numId="7" w16cid:durableId="1619295594">
    <w:abstractNumId w:val="8"/>
  </w:num>
  <w:num w:numId="8" w16cid:durableId="1198734391">
    <w:abstractNumId w:val="6"/>
  </w:num>
  <w:num w:numId="9" w16cid:durableId="88045901">
    <w:abstractNumId w:val="7"/>
  </w:num>
  <w:num w:numId="10" w16cid:durableId="8126010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D"/>
    <w:rsid w:val="0000000E"/>
    <w:rsid w:val="000001A5"/>
    <w:rsid w:val="00000D1C"/>
    <w:rsid w:val="00002E79"/>
    <w:rsid w:val="0000499A"/>
    <w:rsid w:val="00005BE3"/>
    <w:rsid w:val="00005FDB"/>
    <w:rsid w:val="0000657F"/>
    <w:rsid w:val="000116F4"/>
    <w:rsid w:val="00013141"/>
    <w:rsid w:val="00015E53"/>
    <w:rsid w:val="00017469"/>
    <w:rsid w:val="0001759B"/>
    <w:rsid w:val="0002120E"/>
    <w:rsid w:val="00032C5D"/>
    <w:rsid w:val="00033E5E"/>
    <w:rsid w:val="000341A9"/>
    <w:rsid w:val="00036A32"/>
    <w:rsid w:val="00040506"/>
    <w:rsid w:val="00043341"/>
    <w:rsid w:val="00052853"/>
    <w:rsid w:val="00055AAF"/>
    <w:rsid w:val="00057F1E"/>
    <w:rsid w:val="000620BD"/>
    <w:rsid w:val="0006504A"/>
    <w:rsid w:val="00073DBD"/>
    <w:rsid w:val="00075038"/>
    <w:rsid w:val="000762A7"/>
    <w:rsid w:val="000769FD"/>
    <w:rsid w:val="00076D26"/>
    <w:rsid w:val="00080FC3"/>
    <w:rsid w:val="00083EA6"/>
    <w:rsid w:val="000873B7"/>
    <w:rsid w:val="00091548"/>
    <w:rsid w:val="00092689"/>
    <w:rsid w:val="00093110"/>
    <w:rsid w:val="000947FB"/>
    <w:rsid w:val="00094874"/>
    <w:rsid w:val="00094D80"/>
    <w:rsid w:val="00095812"/>
    <w:rsid w:val="000969F5"/>
    <w:rsid w:val="00097937"/>
    <w:rsid w:val="000A003B"/>
    <w:rsid w:val="000A3521"/>
    <w:rsid w:val="000A4293"/>
    <w:rsid w:val="000A53C8"/>
    <w:rsid w:val="000A57F9"/>
    <w:rsid w:val="000A6A13"/>
    <w:rsid w:val="000A6F77"/>
    <w:rsid w:val="000B00F2"/>
    <w:rsid w:val="000B28D6"/>
    <w:rsid w:val="000B3C3D"/>
    <w:rsid w:val="000B515D"/>
    <w:rsid w:val="000C1BED"/>
    <w:rsid w:val="000C2322"/>
    <w:rsid w:val="000C4153"/>
    <w:rsid w:val="000C5A5D"/>
    <w:rsid w:val="000C60C6"/>
    <w:rsid w:val="000C6574"/>
    <w:rsid w:val="000C704A"/>
    <w:rsid w:val="000C7E31"/>
    <w:rsid w:val="000D0FC7"/>
    <w:rsid w:val="000D132C"/>
    <w:rsid w:val="000D51C7"/>
    <w:rsid w:val="000D6079"/>
    <w:rsid w:val="000D6146"/>
    <w:rsid w:val="000D72F1"/>
    <w:rsid w:val="000E0C55"/>
    <w:rsid w:val="000E1C16"/>
    <w:rsid w:val="000E1C98"/>
    <w:rsid w:val="000E2596"/>
    <w:rsid w:val="000E5E1A"/>
    <w:rsid w:val="000F066F"/>
    <w:rsid w:val="000F5DA3"/>
    <w:rsid w:val="000F700F"/>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8E1"/>
    <w:rsid w:val="00143ACC"/>
    <w:rsid w:val="00143F79"/>
    <w:rsid w:val="00144B24"/>
    <w:rsid w:val="00152EE9"/>
    <w:rsid w:val="00153B51"/>
    <w:rsid w:val="001575A4"/>
    <w:rsid w:val="0016556C"/>
    <w:rsid w:val="001662F1"/>
    <w:rsid w:val="00170FB4"/>
    <w:rsid w:val="0017122C"/>
    <w:rsid w:val="00173CA7"/>
    <w:rsid w:val="001740AD"/>
    <w:rsid w:val="00177EB9"/>
    <w:rsid w:val="00183FF2"/>
    <w:rsid w:val="00184189"/>
    <w:rsid w:val="00184511"/>
    <w:rsid w:val="00185CFF"/>
    <w:rsid w:val="00193053"/>
    <w:rsid w:val="00194493"/>
    <w:rsid w:val="00195FE8"/>
    <w:rsid w:val="00197E35"/>
    <w:rsid w:val="001A2B34"/>
    <w:rsid w:val="001A3D32"/>
    <w:rsid w:val="001A5A39"/>
    <w:rsid w:val="001A5C5A"/>
    <w:rsid w:val="001B3B8B"/>
    <w:rsid w:val="001B53DC"/>
    <w:rsid w:val="001B56A1"/>
    <w:rsid w:val="001C2660"/>
    <w:rsid w:val="001C3CBB"/>
    <w:rsid w:val="001C4EAD"/>
    <w:rsid w:val="001C6E53"/>
    <w:rsid w:val="001D4F7C"/>
    <w:rsid w:val="001D5D40"/>
    <w:rsid w:val="001D6BBF"/>
    <w:rsid w:val="001D6CB1"/>
    <w:rsid w:val="001D718F"/>
    <w:rsid w:val="001E0D4E"/>
    <w:rsid w:val="001E2557"/>
    <w:rsid w:val="001E3D2A"/>
    <w:rsid w:val="001E4ED5"/>
    <w:rsid w:val="001E6DFE"/>
    <w:rsid w:val="001F0660"/>
    <w:rsid w:val="001F19EF"/>
    <w:rsid w:val="001F1E6C"/>
    <w:rsid w:val="001F5D17"/>
    <w:rsid w:val="00201185"/>
    <w:rsid w:val="00207CA1"/>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59C5"/>
    <w:rsid w:val="00286EA8"/>
    <w:rsid w:val="002935AA"/>
    <w:rsid w:val="00293B8C"/>
    <w:rsid w:val="002970E4"/>
    <w:rsid w:val="0029746F"/>
    <w:rsid w:val="00297D7A"/>
    <w:rsid w:val="002A05B6"/>
    <w:rsid w:val="002A1B5A"/>
    <w:rsid w:val="002A2FDD"/>
    <w:rsid w:val="002A3E07"/>
    <w:rsid w:val="002A7DC1"/>
    <w:rsid w:val="002B0504"/>
    <w:rsid w:val="002B6CD7"/>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16F9"/>
    <w:rsid w:val="00301F59"/>
    <w:rsid w:val="0030555A"/>
    <w:rsid w:val="00306631"/>
    <w:rsid w:val="00306B55"/>
    <w:rsid w:val="00311159"/>
    <w:rsid w:val="00320344"/>
    <w:rsid w:val="003233F9"/>
    <w:rsid w:val="0032374F"/>
    <w:rsid w:val="0032448D"/>
    <w:rsid w:val="003250F9"/>
    <w:rsid w:val="00325E5D"/>
    <w:rsid w:val="00331804"/>
    <w:rsid w:val="00332AFC"/>
    <w:rsid w:val="0033489A"/>
    <w:rsid w:val="00335244"/>
    <w:rsid w:val="00337245"/>
    <w:rsid w:val="00337F6D"/>
    <w:rsid w:val="00341CBC"/>
    <w:rsid w:val="00345247"/>
    <w:rsid w:val="0034675B"/>
    <w:rsid w:val="003476C6"/>
    <w:rsid w:val="003520BD"/>
    <w:rsid w:val="00354FD7"/>
    <w:rsid w:val="003566D7"/>
    <w:rsid w:val="00357E8C"/>
    <w:rsid w:val="00360E93"/>
    <w:rsid w:val="003639E7"/>
    <w:rsid w:val="0036481B"/>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0A34"/>
    <w:rsid w:val="003C1788"/>
    <w:rsid w:val="003C226F"/>
    <w:rsid w:val="003C572E"/>
    <w:rsid w:val="003C77C1"/>
    <w:rsid w:val="003C7F96"/>
    <w:rsid w:val="003D08BF"/>
    <w:rsid w:val="003D0F3A"/>
    <w:rsid w:val="003D482F"/>
    <w:rsid w:val="003E02E3"/>
    <w:rsid w:val="003E363D"/>
    <w:rsid w:val="003E554A"/>
    <w:rsid w:val="003E6113"/>
    <w:rsid w:val="003E7267"/>
    <w:rsid w:val="003E7446"/>
    <w:rsid w:val="003F076B"/>
    <w:rsid w:val="003F1406"/>
    <w:rsid w:val="003F2F26"/>
    <w:rsid w:val="003F30C8"/>
    <w:rsid w:val="003F3268"/>
    <w:rsid w:val="003F59BC"/>
    <w:rsid w:val="003F6622"/>
    <w:rsid w:val="003F7804"/>
    <w:rsid w:val="00402A5A"/>
    <w:rsid w:val="0040684B"/>
    <w:rsid w:val="00411AAD"/>
    <w:rsid w:val="004139F9"/>
    <w:rsid w:val="00416243"/>
    <w:rsid w:val="004163E7"/>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75862"/>
    <w:rsid w:val="004844E3"/>
    <w:rsid w:val="00485A04"/>
    <w:rsid w:val="0049150C"/>
    <w:rsid w:val="0049312F"/>
    <w:rsid w:val="0049449D"/>
    <w:rsid w:val="00495405"/>
    <w:rsid w:val="0049790F"/>
    <w:rsid w:val="00497FD7"/>
    <w:rsid w:val="004A3C81"/>
    <w:rsid w:val="004A4EEA"/>
    <w:rsid w:val="004A7306"/>
    <w:rsid w:val="004B098E"/>
    <w:rsid w:val="004B0E2C"/>
    <w:rsid w:val="004B49EA"/>
    <w:rsid w:val="004B4D38"/>
    <w:rsid w:val="004B6E50"/>
    <w:rsid w:val="004C6182"/>
    <w:rsid w:val="004C6762"/>
    <w:rsid w:val="004D13B6"/>
    <w:rsid w:val="004D17A8"/>
    <w:rsid w:val="004D5BE0"/>
    <w:rsid w:val="004E514E"/>
    <w:rsid w:val="004E551F"/>
    <w:rsid w:val="004E67D0"/>
    <w:rsid w:val="004F362F"/>
    <w:rsid w:val="004F580C"/>
    <w:rsid w:val="004F5DE5"/>
    <w:rsid w:val="004F6AE4"/>
    <w:rsid w:val="00503BC6"/>
    <w:rsid w:val="00511A32"/>
    <w:rsid w:val="00512697"/>
    <w:rsid w:val="005127B2"/>
    <w:rsid w:val="00512AD2"/>
    <w:rsid w:val="00517A7C"/>
    <w:rsid w:val="00520DF8"/>
    <w:rsid w:val="00523D14"/>
    <w:rsid w:val="00526378"/>
    <w:rsid w:val="00535D44"/>
    <w:rsid w:val="0053713E"/>
    <w:rsid w:val="00537887"/>
    <w:rsid w:val="005414B9"/>
    <w:rsid w:val="00542ECA"/>
    <w:rsid w:val="00547026"/>
    <w:rsid w:val="00550BA5"/>
    <w:rsid w:val="00551DDD"/>
    <w:rsid w:val="00552183"/>
    <w:rsid w:val="0055299B"/>
    <w:rsid w:val="00554383"/>
    <w:rsid w:val="00557584"/>
    <w:rsid w:val="00565F76"/>
    <w:rsid w:val="00566D4C"/>
    <w:rsid w:val="00573691"/>
    <w:rsid w:val="00573B99"/>
    <w:rsid w:val="0057558C"/>
    <w:rsid w:val="00581EC9"/>
    <w:rsid w:val="005875DC"/>
    <w:rsid w:val="00591417"/>
    <w:rsid w:val="005916BC"/>
    <w:rsid w:val="005937C6"/>
    <w:rsid w:val="005939DC"/>
    <w:rsid w:val="005A09B3"/>
    <w:rsid w:val="005A1022"/>
    <w:rsid w:val="005A1232"/>
    <w:rsid w:val="005A22D5"/>
    <w:rsid w:val="005A744C"/>
    <w:rsid w:val="005B5125"/>
    <w:rsid w:val="005B566B"/>
    <w:rsid w:val="005C20C9"/>
    <w:rsid w:val="005C2DA1"/>
    <w:rsid w:val="005C4035"/>
    <w:rsid w:val="005D3531"/>
    <w:rsid w:val="005D597C"/>
    <w:rsid w:val="005D6011"/>
    <w:rsid w:val="005D6675"/>
    <w:rsid w:val="005E0E30"/>
    <w:rsid w:val="005E1580"/>
    <w:rsid w:val="005E1925"/>
    <w:rsid w:val="005E2A86"/>
    <w:rsid w:val="005E4CF5"/>
    <w:rsid w:val="005E5DBF"/>
    <w:rsid w:val="005E63AB"/>
    <w:rsid w:val="005E671D"/>
    <w:rsid w:val="005E6CA6"/>
    <w:rsid w:val="005E7AC6"/>
    <w:rsid w:val="005F3CAB"/>
    <w:rsid w:val="005F7F44"/>
    <w:rsid w:val="006046B9"/>
    <w:rsid w:val="00605CB3"/>
    <w:rsid w:val="00613204"/>
    <w:rsid w:val="00615671"/>
    <w:rsid w:val="00620099"/>
    <w:rsid w:val="00622494"/>
    <w:rsid w:val="006231C8"/>
    <w:rsid w:val="00625CF5"/>
    <w:rsid w:val="00626B5C"/>
    <w:rsid w:val="00627629"/>
    <w:rsid w:val="006304AA"/>
    <w:rsid w:val="0063056F"/>
    <w:rsid w:val="00632BDE"/>
    <w:rsid w:val="00634F99"/>
    <w:rsid w:val="006373B5"/>
    <w:rsid w:val="00642024"/>
    <w:rsid w:val="006466A1"/>
    <w:rsid w:val="0064732D"/>
    <w:rsid w:val="00651DB6"/>
    <w:rsid w:val="00654DB2"/>
    <w:rsid w:val="00667E32"/>
    <w:rsid w:val="006719BD"/>
    <w:rsid w:val="00674DD4"/>
    <w:rsid w:val="00676A43"/>
    <w:rsid w:val="006823DA"/>
    <w:rsid w:val="00683EED"/>
    <w:rsid w:val="006872C0"/>
    <w:rsid w:val="006909B1"/>
    <w:rsid w:val="0069241E"/>
    <w:rsid w:val="0069267C"/>
    <w:rsid w:val="00692816"/>
    <w:rsid w:val="00693229"/>
    <w:rsid w:val="00694E6F"/>
    <w:rsid w:val="00695DA9"/>
    <w:rsid w:val="006A1FB4"/>
    <w:rsid w:val="006B06C9"/>
    <w:rsid w:val="006B10DB"/>
    <w:rsid w:val="006B579A"/>
    <w:rsid w:val="006B59CA"/>
    <w:rsid w:val="006B5E39"/>
    <w:rsid w:val="006B6E9C"/>
    <w:rsid w:val="006B6FC7"/>
    <w:rsid w:val="006C1A29"/>
    <w:rsid w:val="006C1F8F"/>
    <w:rsid w:val="006C21E7"/>
    <w:rsid w:val="006C3763"/>
    <w:rsid w:val="006C403E"/>
    <w:rsid w:val="006D00B2"/>
    <w:rsid w:val="006D6733"/>
    <w:rsid w:val="006D703E"/>
    <w:rsid w:val="006E0DFC"/>
    <w:rsid w:val="006E2012"/>
    <w:rsid w:val="006E7D50"/>
    <w:rsid w:val="006F2080"/>
    <w:rsid w:val="006F6C28"/>
    <w:rsid w:val="006F6C9D"/>
    <w:rsid w:val="006F7428"/>
    <w:rsid w:val="00700E47"/>
    <w:rsid w:val="00702F45"/>
    <w:rsid w:val="00703A17"/>
    <w:rsid w:val="00711F6D"/>
    <w:rsid w:val="007122C8"/>
    <w:rsid w:val="00713CB0"/>
    <w:rsid w:val="00716247"/>
    <w:rsid w:val="0072375D"/>
    <w:rsid w:val="00725614"/>
    <w:rsid w:val="00725D6F"/>
    <w:rsid w:val="00727BFC"/>
    <w:rsid w:val="00731F0A"/>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2E"/>
    <w:rsid w:val="007819B0"/>
    <w:rsid w:val="00787FF5"/>
    <w:rsid w:val="00791D0C"/>
    <w:rsid w:val="0079262B"/>
    <w:rsid w:val="007942D3"/>
    <w:rsid w:val="00796C23"/>
    <w:rsid w:val="00797279"/>
    <w:rsid w:val="00797B81"/>
    <w:rsid w:val="007A00A9"/>
    <w:rsid w:val="007A0960"/>
    <w:rsid w:val="007A1A25"/>
    <w:rsid w:val="007A21FB"/>
    <w:rsid w:val="007A36FE"/>
    <w:rsid w:val="007A4848"/>
    <w:rsid w:val="007A6517"/>
    <w:rsid w:val="007B2F1D"/>
    <w:rsid w:val="007B3071"/>
    <w:rsid w:val="007B3D41"/>
    <w:rsid w:val="007B7BFC"/>
    <w:rsid w:val="007C1F09"/>
    <w:rsid w:val="007C6E3B"/>
    <w:rsid w:val="007C7734"/>
    <w:rsid w:val="007D039E"/>
    <w:rsid w:val="007D122D"/>
    <w:rsid w:val="007D129B"/>
    <w:rsid w:val="007D153A"/>
    <w:rsid w:val="007D45B9"/>
    <w:rsid w:val="007D5133"/>
    <w:rsid w:val="007E02F3"/>
    <w:rsid w:val="007E57D5"/>
    <w:rsid w:val="007E5B3C"/>
    <w:rsid w:val="007F673A"/>
    <w:rsid w:val="007F6F2B"/>
    <w:rsid w:val="008005D5"/>
    <w:rsid w:val="0080277C"/>
    <w:rsid w:val="00803818"/>
    <w:rsid w:val="00803AD3"/>
    <w:rsid w:val="0080596D"/>
    <w:rsid w:val="00811CD4"/>
    <w:rsid w:val="00811E80"/>
    <w:rsid w:val="008131D9"/>
    <w:rsid w:val="0081431F"/>
    <w:rsid w:val="00820794"/>
    <w:rsid w:val="00820BC4"/>
    <w:rsid w:val="0082364A"/>
    <w:rsid w:val="00823FD6"/>
    <w:rsid w:val="00824239"/>
    <w:rsid w:val="00824F77"/>
    <w:rsid w:val="00824FE1"/>
    <w:rsid w:val="00825859"/>
    <w:rsid w:val="00826DD1"/>
    <w:rsid w:val="008324A0"/>
    <w:rsid w:val="0083419C"/>
    <w:rsid w:val="00834E6C"/>
    <w:rsid w:val="00842734"/>
    <w:rsid w:val="00845081"/>
    <w:rsid w:val="0085039E"/>
    <w:rsid w:val="00853358"/>
    <w:rsid w:val="00855FE8"/>
    <w:rsid w:val="0085628E"/>
    <w:rsid w:val="00857CB2"/>
    <w:rsid w:val="00861EB3"/>
    <w:rsid w:val="00865918"/>
    <w:rsid w:val="00866A55"/>
    <w:rsid w:val="00866FFD"/>
    <w:rsid w:val="00867267"/>
    <w:rsid w:val="00875485"/>
    <w:rsid w:val="00876803"/>
    <w:rsid w:val="00876C5E"/>
    <w:rsid w:val="00877F07"/>
    <w:rsid w:val="00880785"/>
    <w:rsid w:val="0088282A"/>
    <w:rsid w:val="00882CC1"/>
    <w:rsid w:val="00884792"/>
    <w:rsid w:val="00884A26"/>
    <w:rsid w:val="00884FDC"/>
    <w:rsid w:val="00885B85"/>
    <w:rsid w:val="00885CD9"/>
    <w:rsid w:val="008922CD"/>
    <w:rsid w:val="0089334B"/>
    <w:rsid w:val="00896F91"/>
    <w:rsid w:val="008A2B8D"/>
    <w:rsid w:val="008A4AF7"/>
    <w:rsid w:val="008A7F65"/>
    <w:rsid w:val="008B0164"/>
    <w:rsid w:val="008B09FF"/>
    <w:rsid w:val="008B4F7C"/>
    <w:rsid w:val="008C2FC2"/>
    <w:rsid w:val="008C48F4"/>
    <w:rsid w:val="008D224D"/>
    <w:rsid w:val="008D2613"/>
    <w:rsid w:val="008D2AC3"/>
    <w:rsid w:val="008D4386"/>
    <w:rsid w:val="008D5ABD"/>
    <w:rsid w:val="008E09D1"/>
    <w:rsid w:val="008E3863"/>
    <w:rsid w:val="008E6C77"/>
    <w:rsid w:val="008F034B"/>
    <w:rsid w:val="008F0E54"/>
    <w:rsid w:val="008F17E9"/>
    <w:rsid w:val="008F1BAD"/>
    <w:rsid w:val="008F2693"/>
    <w:rsid w:val="008F5264"/>
    <w:rsid w:val="008F6C2E"/>
    <w:rsid w:val="008F7885"/>
    <w:rsid w:val="008F7889"/>
    <w:rsid w:val="009039A4"/>
    <w:rsid w:val="009077D1"/>
    <w:rsid w:val="00911B9C"/>
    <w:rsid w:val="00912198"/>
    <w:rsid w:val="0091499C"/>
    <w:rsid w:val="009216D6"/>
    <w:rsid w:val="00923AE4"/>
    <w:rsid w:val="00926A3E"/>
    <w:rsid w:val="009308BE"/>
    <w:rsid w:val="0093203B"/>
    <w:rsid w:val="009326F3"/>
    <w:rsid w:val="009452CF"/>
    <w:rsid w:val="009463D3"/>
    <w:rsid w:val="00946B8C"/>
    <w:rsid w:val="00950751"/>
    <w:rsid w:val="0095399F"/>
    <w:rsid w:val="00961D04"/>
    <w:rsid w:val="00972359"/>
    <w:rsid w:val="00977EF7"/>
    <w:rsid w:val="009801C1"/>
    <w:rsid w:val="00981111"/>
    <w:rsid w:val="00981B27"/>
    <w:rsid w:val="00982DB5"/>
    <w:rsid w:val="00987780"/>
    <w:rsid w:val="0099337C"/>
    <w:rsid w:val="00994321"/>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674B"/>
    <w:rsid w:val="009E1334"/>
    <w:rsid w:val="009E2B4D"/>
    <w:rsid w:val="009E4288"/>
    <w:rsid w:val="009E5AC5"/>
    <w:rsid w:val="009F1019"/>
    <w:rsid w:val="00A00D1C"/>
    <w:rsid w:val="00A017A9"/>
    <w:rsid w:val="00A02E23"/>
    <w:rsid w:val="00A05FE1"/>
    <w:rsid w:val="00A06D3E"/>
    <w:rsid w:val="00A07425"/>
    <w:rsid w:val="00A15DB7"/>
    <w:rsid w:val="00A22B19"/>
    <w:rsid w:val="00A2775C"/>
    <w:rsid w:val="00A3281A"/>
    <w:rsid w:val="00A35B25"/>
    <w:rsid w:val="00A3620D"/>
    <w:rsid w:val="00A40254"/>
    <w:rsid w:val="00A421B1"/>
    <w:rsid w:val="00A42F99"/>
    <w:rsid w:val="00A433CD"/>
    <w:rsid w:val="00A44A8D"/>
    <w:rsid w:val="00A51876"/>
    <w:rsid w:val="00A55B4F"/>
    <w:rsid w:val="00A560FA"/>
    <w:rsid w:val="00A57D9B"/>
    <w:rsid w:val="00A6017E"/>
    <w:rsid w:val="00A61EB9"/>
    <w:rsid w:val="00A65C1F"/>
    <w:rsid w:val="00A72ED6"/>
    <w:rsid w:val="00A73708"/>
    <w:rsid w:val="00A75D5C"/>
    <w:rsid w:val="00A76787"/>
    <w:rsid w:val="00A804E1"/>
    <w:rsid w:val="00A80C45"/>
    <w:rsid w:val="00A81D60"/>
    <w:rsid w:val="00A82FAF"/>
    <w:rsid w:val="00A8427E"/>
    <w:rsid w:val="00A85319"/>
    <w:rsid w:val="00A859C6"/>
    <w:rsid w:val="00A87F64"/>
    <w:rsid w:val="00A90562"/>
    <w:rsid w:val="00A93E27"/>
    <w:rsid w:val="00A9670F"/>
    <w:rsid w:val="00AA12A6"/>
    <w:rsid w:val="00AA3A93"/>
    <w:rsid w:val="00AA44B8"/>
    <w:rsid w:val="00AA5E4C"/>
    <w:rsid w:val="00AA673E"/>
    <w:rsid w:val="00AB2A8B"/>
    <w:rsid w:val="00AB3A26"/>
    <w:rsid w:val="00AB3FED"/>
    <w:rsid w:val="00AB7747"/>
    <w:rsid w:val="00AB7DDF"/>
    <w:rsid w:val="00AC271D"/>
    <w:rsid w:val="00AC6259"/>
    <w:rsid w:val="00AD54F5"/>
    <w:rsid w:val="00AD618B"/>
    <w:rsid w:val="00AD7088"/>
    <w:rsid w:val="00AD7568"/>
    <w:rsid w:val="00AE1357"/>
    <w:rsid w:val="00AE300D"/>
    <w:rsid w:val="00AE72F6"/>
    <w:rsid w:val="00AE78E5"/>
    <w:rsid w:val="00AF155E"/>
    <w:rsid w:val="00AF3E10"/>
    <w:rsid w:val="00AF4BAB"/>
    <w:rsid w:val="00AF5355"/>
    <w:rsid w:val="00B036DB"/>
    <w:rsid w:val="00B05CE2"/>
    <w:rsid w:val="00B117D8"/>
    <w:rsid w:val="00B119FC"/>
    <w:rsid w:val="00B27C00"/>
    <w:rsid w:val="00B339E9"/>
    <w:rsid w:val="00B4050D"/>
    <w:rsid w:val="00B42400"/>
    <w:rsid w:val="00B425FC"/>
    <w:rsid w:val="00B428AB"/>
    <w:rsid w:val="00B5128B"/>
    <w:rsid w:val="00B515BB"/>
    <w:rsid w:val="00B52D13"/>
    <w:rsid w:val="00B53024"/>
    <w:rsid w:val="00B541D3"/>
    <w:rsid w:val="00B554DF"/>
    <w:rsid w:val="00B61965"/>
    <w:rsid w:val="00B63A32"/>
    <w:rsid w:val="00B64901"/>
    <w:rsid w:val="00B71A84"/>
    <w:rsid w:val="00B7709D"/>
    <w:rsid w:val="00B81730"/>
    <w:rsid w:val="00B81E6B"/>
    <w:rsid w:val="00B82CE4"/>
    <w:rsid w:val="00B84291"/>
    <w:rsid w:val="00B90B61"/>
    <w:rsid w:val="00B91389"/>
    <w:rsid w:val="00B9277F"/>
    <w:rsid w:val="00B94B8F"/>
    <w:rsid w:val="00B953AF"/>
    <w:rsid w:val="00BA0721"/>
    <w:rsid w:val="00BA220E"/>
    <w:rsid w:val="00BA28E8"/>
    <w:rsid w:val="00BA2FB0"/>
    <w:rsid w:val="00BA61B8"/>
    <w:rsid w:val="00BB0EDD"/>
    <w:rsid w:val="00BB4F10"/>
    <w:rsid w:val="00BC111E"/>
    <w:rsid w:val="00BC3E9B"/>
    <w:rsid w:val="00BD020E"/>
    <w:rsid w:val="00BD161F"/>
    <w:rsid w:val="00BD20CE"/>
    <w:rsid w:val="00BD501E"/>
    <w:rsid w:val="00BD5AFB"/>
    <w:rsid w:val="00BD5BAF"/>
    <w:rsid w:val="00BD7723"/>
    <w:rsid w:val="00BE437C"/>
    <w:rsid w:val="00BE5E3A"/>
    <w:rsid w:val="00BF1FC0"/>
    <w:rsid w:val="00BF4050"/>
    <w:rsid w:val="00BF746F"/>
    <w:rsid w:val="00C00616"/>
    <w:rsid w:val="00C16D89"/>
    <w:rsid w:val="00C21C4C"/>
    <w:rsid w:val="00C21F20"/>
    <w:rsid w:val="00C25E09"/>
    <w:rsid w:val="00C3032D"/>
    <w:rsid w:val="00C304D6"/>
    <w:rsid w:val="00C31554"/>
    <w:rsid w:val="00C31BB0"/>
    <w:rsid w:val="00C34DB1"/>
    <w:rsid w:val="00C4018B"/>
    <w:rsid w:val="00C4154B"/>
    <w:rsid w:val="00C41821"/>
    <w:rsid w:val="00C43C58"/>
    <w:rsid w:val="00C43D01"/>
    <w:rsid w:val="00C46E78"/>
    <w:rsid w:val="00C47BEB"/>
    <w:rsid w:val="00C50EA3"/>
    <w:rsid w:val="00C54765"/>
    <w:rsid w:val="00C608DC"/>
    <w:rsid w:val="00C60F61"/>
    <w:rsid w:val="00C62555"/>
    <w:rsid w:val="00C65F73"/>
    <w:rsid w:val="00C7051B"/>
    <w:rsid w:val="00C72B82"/>
    <w:rsid w:val="00C76C0A"/>
    <w:rsid w:val="00C8006C"/>
    <w:rsid w:val="00C827B1"/>
    <w:rsid w:val="00C8419D"/>
    <w:rsid w:val="00C85BF0"/>
    <w:rsid w:val="00C8641A"/>
    <w:rsid w:val="00C90898"/>
    <w:rsid w:val="00C9186F"/>
    <w:rsid w:val="00C9306E"/>
    <w:rsid w:val="00C9310C"/>
    <w:rsid w:val="00C93370"/>
    <w:rsid w:val="00C979FD"/>
    <w:rsid w:val="00CB2E7F"/>
    <w:rsid w:val="00CB3DF4"/>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E270F"/>
    <w:rsid w:val="00CE7B03"/>
    <w:rsid w:val="00CF0CB9"/>
    <w:rsid w:val="00CF0D74"/>
    <w:rsid w:val="00D00961"/>
    <w:rsid w:val="00D00C0C"/>
    <w:rsid w:val="00D017B2"/>
    <w:rsid w:val="00D02759"/>
    <w:rsid w:val="00D12375"/>
    <w:rsid w:val="00D13425"/>
    <w:rsid w:val="00D20EE7"/>
    <w:rsid w:val="00D23ECB"/>
    <w:rsid w:val="00D26BAD"/>
    <w:rsid w:val="00D26D7E"/>
    <w:rsid w:val="00D330A5"/>
    <w:rsid w:val="00D346FB"/>
    <w:rsid w:val="00D36BB0"/>
    <w:rsid w:val="00D43A5B"/>
    <w:rsid w:val="00D46BA6"/>
    <w:rsid w:val="00D476B6"/>
    <w:rsid w:val="00D5256C"/>
    <w:rsid w:val="00D5392B"/>
    <w:rsid w:val="00D617F3"/>
    <w:rsid w:val="00D6365F"/>
    <w:rsid w:val="00D63A7E"/>
    <w:rsid w:val="00D63B86"/>
    <w:rsid w:val="00D63BF9"/>
    <w:rsid w:val="00D704B4"/>
    <w:rsid w:val="00D70A4F"/>
    <w:rsid w:val="00D7106F"/>
    <w:rsid w:val="00D71B56"/>
    <w:rsid w:val="00D71F31"/>
    <w:rsid w:val="00D7748D"/>
    <w:rsid w:val="00D77FFD"/>
    <w:rsid w:val="00D808D9"/>
    <w:rsid w:val="00D863D1"/>
    <w:rsid w:val="00D87605"/>
    <w:rsid w:val="00D9121F"/>
    <w:rsid w:val="00DA0450"/>
    <w:rsid w:val="00DA386A"/>
    <w:rsid w:val="00DA3DD5"/>
    <w:rsid w:val="00DA6290"/>
    <w:rsid w:val="00DB00E7"/>
    <w:rsid w:val="00DB2F3E"/>
    <w:rsid w:val="00DB4AFF"/>
    <w:rsid w:val="00DC051E"/>
    <w:rsid w:val="00DC4F32"/>
    <w:rsid w:val="00DC5206"/>
    <w:rsid w:val="00DD006A"/>
    <w:rsid w:val="00DD0C20"/>
    <w:rsid w:val="00DD6A4D"/>
    <w:rsid w:val="00DE3413"/>
    <w:rsid w:val="00DE51E8"/>
    <w:rsid w:val="00DE6A19"/>
    <w:rsid w:val="00DE7587"/>
    <w:rsid w:val="00DE7BAC"/>
    <w:rsid w:val="00DF01A9"/>
    <w:rsid w:val="00DF163C"/>
    <w:rsid w:val="00DF4CD8"/>
    <w:rsid w:val="00DF748E"/>
    <w:rsid w:val="00E00388"/>
    <w:rsid w:val="00E0399D"/>
    <w:rsid w:val="00E05C96"/>
    <w:rsid w:val="00E159D4"/>
    <w:rsid w:val="00E15B42"/>
    <w:rsid w:val="00E16B81"/>
    <w:rsid w:val="00E20F3F"/>
    <w:rsid w:val="00E2387B"/>
    <w:rsid w:val="00E24A53"/>
    <w:rsid w:val="00E34B99"/>
    <w:rsid w:val="00E36630"/>
    <w:rsid w:val="00E368F4"/>
    <w:rsid w:val="00E37563"/>
    <w:rsid w:val="00E41E76"/>
    <w:rsid w:val="00E51F74"/>
    <w:rsid w:val="00E53A25"/>
    <w:rsid w:val="00E6092D"/>
    <w:rsid w:val="00E61024"/>
    <w:rsid w:val="00E66F45"/>
    <w:rsid w:val="00E67D68"/>
    <w:rsid w:val="00E71313"/>
    <w:rsid w:val="00E713A5"/>
    <w:rsid w:val="00E72BFC"/>
    <w:rsid w:val="00E750A6"/>
    <w:rsid w:val="00E80F15"/>
    <w:rsid w:val="00E8395C"/>
    <w:rsid w:val="00E8562D"/>
    <w:rsid w:val="00E86EF3"/>
    <w:rsid w:val="00E92BC9"/>
    <w:rsid w:val="00E948A5"/>
    <w:rsid w:val="00E95F0E"/>
    <w:rsid w:val="00E973AA"/>
    <w:rsid w:val="00EA27BE"/>
    <w:rsid w:val="00EB0264"/>
    <w:rsid w:val="00EB1C87"/>
    <w:rsid w:val="00EB5565"/>
    <w:rsid w:val="00EB5E29"/>
    <w:rsid w:val="00EB6313"/>
    <w:rsid w:val="00EB7D6B"/>
    <w:rsid w:val="00EC35B4"/>
    <w:rsid w:val="00EC6CA3"/>
    <w:rsid w:val="00ED5C1E"/>
    <w:rsid w:val="00ED6541"/>
    <w:rsid w:val="00EE1217"/>
    <w:rsid w:val="00EE2C19"/>
    <w:rsid w:val="00EE31B4"/>
    <w:rsid w:val="00EE3E8D"/>
    <w:rsid w:val="00EF0985"/>
    <w:rsid w:val="00EF4A05"/>
    <w:rsid w:val="00EF5519"/>
    <w:rsid w:val="00F07359"/>
    <w:rsid w:val="00F105E5"/>
    <w:rsid w:val="00F120C3"/>
    <w:rsid w:val="00F12191"/>
    <w:rsid w:val="00F1312F"/>
    <w:rsid w:val="00F13547"/>
    <w:rsid w:val="00F16B0E"/>
    <w:rsid w:val="00F17923"/>
    <w:rsid w:val="00F214FD"/>
    <w:rsid w:val="00F22265"/>
    <w:rsid w:val="00F238A9"/>
    <w:rsid w:val="00F24290"/>
    <w:rsid w:val="00F31110"/>
    <w:rsid w:val="00F32FBC"/>
    <w:rsid w:val="00F33D55"/>
    <w:rsid w:val="00F344C4"/>
    <w:rsid w:val="00F4062A"/>
    <w:rsid w:val="00F4276E"/>
    <w:rsid w:val="00F42915"/>
    <w:rsid w:val="00F44933"/>
    <w:rsid w:val="00F45C70"/>
    <w:rsid w:val="00F469FE"/>
    <w:rsid w:val="00F46C43"/>
    <w:rsid w:val="00F51F8E"/>
    <w:rsid w:val="00F536F8"/>
    <w:rsid w:val="00F55EAD"/>
    <w:rsid w:val="00F56FCE"/>
    <w:rsid w:val="00F63160"/>
    <w:rsid w:val="00F64AF1"/>
    <w:rsid w:val="00F65BEF"/>
    <w:rsid w:val="00F67410"/>
    <w:rsid w:val="00F709DB"/>
    <w:rsid w:val="00F709DC"/>
    <w:rsid w:val="00F71B8B"/>
    <w:rsid w:val="00F73178"/>
    <w:rsid w:val="00F7489E"/>
    <w:rsid w:val="00F755F6"/>
    <w:rsid w:val="00F763FA"/>
    <w:rsid w:val="00F86D58"/>
    <w:rsid w:val="00F86FD3"/>
    <w:rsid w:val="00F95648"/>
    <w:rsid w:val="00F95AD5"/>
    <w:rsid w:val="00FA2713"/>
    <w:rsid w:val="00FB19BC"/>
    <w:rsid w:val="00FB39EB"/>
    <w:rsid w:val="00FB6647"/>
    <w:rsid w:val="00FB7E5D"/>
    <w:rsid w:val="00FC1318"/>
    <w:rsid w:val="00FC23A1"/>
    <w:rsid w:val="00FC6FD2"/>
    <w:rsid w:val="00FC7E3E"/>
    <w:rsid w:val="00FD04F4"/>
    <w:rsid w:val="00FD365F"/>
    <w:rsid w:val="00FD3D65"/>
    <w:rsid w:val="00FD434B"/>
    <w:rsid w:val="00FD5BCD"/>
    <w:rsid w:val="00FD75DA"/>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umentcloud.adobe.com/link/review?uri=urn:aaid:scds:US:4262211c-821b-457f-92c9-342d8f876dce" TargetMode="External"/><Relationship Id="rId4" Type="http://schemas.openxmlformats.org/officeDocument/2006/relationships/settings" Target="settings.xml"/><Relationship Id="rId9" Type="http://schemas.openxmlformats.org/officeDocument/2006/relationships/hyperlink" Target="https://documentcloud.adobe.com/link/review?uri=urn:aaid:scds:US:4262211c-821b-457f-92c9-342d8f876d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4F23-D0EA-4C8A-BFF8-8B9C84FE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Sara Nelis</cp:lastModifiedBy>
  <cp:revision>4</cp:revision>
  <cp:lastPrinted>2019-02-05T16:06:00Z</cp:lastPrinted>
  <dcterms:created xsi:type="dcterms:W3CDTF">2022-02-17T21:50:00Z</dcterms:created>
  <dcterms:modified xsi:type="dcterms:W3CDTF">2022-06-09T17:33:00Z</dcterms:modified>
</cp:coreProperties>
</file>